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09" w:rsidRPr="00CD2250" w:rsidRDefault="00444A7C" w:rsidP="00DA6378">
      <w:pPr>
        <w:spacing w:line="360" w:lineRule="auto"/>
        <w:ind w:firstLine="0"/>
        <w:rPr>
          <w:rFonts w:cs="Arial"/>
          <w:b/>
          <w:sz w:val="24"/>
          <w:szCs w:val="24"/>
        </w:rPr>
      </w:pPr>
      <w:r w:rsidRPr="00CD2250">
        <w:rPr>
          <w:rFonts w:cs="Arial"/>
          <w:b/>
          <w:sz w:val="24"/>
          <w:szCs w:val="24"/>
        </w:rPr>
        <w:t>USO DE ENTRETENIMENTO PARA TRANSMISSÃO DE MENSAGENS COMERCIAIS</w:t>
      </w:r>
    </w:p>
    <w:p w:rsidR="009C5BC4" w:rsidRPr="00CD2250" w:rsidRDefault="009C5BC4" w:rsidP="00DA6378">
      <w:pPr>
        <w:spacing w:line="360" w:lineRule="auto"/>
        <w:rPr>
          <w:rFonts w:cs="Arial"/>
          <w:sz w:val="24"/>
          <w:szCs w:val="24"/>
        </w:rPr>
      </w:pPr>
    </w:p>
    <w:p w:rsidR="00C36367" w:rsidRPr="00CD2250" w:rsidRDefault="00AC0C74" w:rsidP="00C36367">
      <w:pPr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 xml:space="preserve">Agrava-se à prática abusiva de direcionamento de publicidade ao público infantil a forma como essa </w:t>
      </w:r>
      <w:r w:rsidR="00C15C48" w:rsidRPr="00CD2250">
        <w:rPr>
          <w:rFonts w:cs="Arial"/>
          <w:sz w:val="24"/>
          <w:szCs w:val="24"/>
        </w:rPr>
        <w:t>é</w:t>
      </w:r>
      <w:r w:rsidRPr="00CD2250">
        <w:rPr>
          <w:rFonts w:cs="Arial"/>
          <w:sz w:val="24"/>
          <w:szCs w:val="24"/>
        </w:rPr>
        <w:t xml:space="preserve"> articulada: </w:t>
      </w:r>
      <w:r w:rsidR="0022616D" w:rsidRPr="00CD2250">
        <w:rPr>
          <w:rFonts w:cs="Arial"/>
          <w:sz w:val="24"/>
          <w:szCs w:val="24"/>
        </w:rPr>
        <w:t xml:space="preserve">associação </w:t>
      </w:r>
      <w:r w:rsidR="00C15C48" w:rsidRPr="00CD2250">
        <w:rPr>
          <w:rFonts w:cs="Arial"/>
          <w:sz w:val="24"/>
          <w:szCs w:val="24"/>
        </w:rPr>
        <w:t>das marcas a</w:t>
      </w:r>
      <w:r w:rsidRPr="00CD2250">
        <w:rPr>
          <w:rFonts w:cs="Arial"/>
          <w:sz w:val="24"/>
          <w:szCs w:val="24"/>
        </w:rPr>
        <w:t xml:space="preserve"> </w:t>
      </w:r>
      <w:r w:rsidR="00C15C48" w:rsidRPr="00CD2250">
        <w:rPr>
          <w:rFonts w:cs="Arial"/>
          <w:sz w:val="24"/>
          <w:szCs w:val="24"/>
        </w:rPr>
        <w:t xml:space="preserve">formas de </w:t>
      </w:r>
      <w:r w:rsidRPr="00CD2250">
        <w:rPr>
          <w:rFonts w:cs="Arial"/>
          <w:sz w:val="24"/>
          <w:szCs w:val="24"/>
        </w:rPr>
        <w:t>entretenimento</w:t>
      </w:r>
      <w:r w:rsidR="00C36367" w:rsidRPr="00CD2250">
        <w:rPr>
          <w:rFonts w:cs="Arial"/>
          <w:sz w:val="24"/>
          <w:szCs w:val="24"/>
        </w:rPr>
        <w:t xml:space="preserve"> </w:t>
      </w:r>
      <w:r w:rsidR="00C15C48" w:rsidRPr="00CD2250">
        <w:rPr>
          <w:rFonts w:cs="Arial"/>
          <w:sz w:val="24"/>
          <w:szCs w:val="24"/>
        </w:rPr>
        <w:t>infantil</w:t>
      </w:r>
      <w:r w:rsidR="00C36367" w:rsidRPr="00CD2250">
        <w:rPr>
          <w:rFonts w:cs="Arial"/>
          <w:sz w:val="24"/>
          <w:szCs w:val="24"/>
        </w:rPr>
        <w:t xml:space="preserve">. </w:t>
      </w:r>
    </w:p>
    <w:p w:rsidR="00AC0C74" w:rsidRPr="00CD2250" w:rsidRDefault="00AC0C74" w:rsidP="00DA6378">
      <w:pPr>
        <w:spacing w:line="360" w:lineRule="auto"/>
        <w:rPr>
          <w:rFonts w:cs="Arial"/>
          <w:sz w:val="24"/>
          <w:szCs w:val="24"/>
        </w:rPr>
      </w:pPr>
    </w:p>
    <w:p w:rsidR="00C36367" w:rsidRPr="00CD2250" w:rsidRDefault="00C36367" w:rsidP="001A472E">
      <w:pPr>
        <w:autoSpaceDE w:val="0"/>
        <w:autoSpaceDN w:val="0"/>
        <w:adjustRightInd w:val="0"/>
        <w:spacing w:line="360" w:lineRule="auto"/>
        <w:rPr>
          <w:rFonts w:cs="Arial"/>
          <w:bCs/>
          <w:sz w:val="24"/>
          <w:szCs w:val="24"/>
        </w:rPr>
      </w:pPr>
      <w:r w:rsidRPr="00CD2250">
        <w:rPr>
          <w:rFonts w:cs="Arial"/>
          <w:sz w:val="24"/>
          <w:szCs w:val="24"/>
        </w:rPr>
        <w:t xml:space="preserve">Pesquisa realizada pela Nickelodeon Business </w:t>
      </w:r>
      <w:proofErr w:type="spellStart"/>
      <w:r w:rsidRPr="00CD2250">
        <w:rPr>
          <w:rFonts w:cs="Arial"/>
          <w:sz w:val="24"/>
          <w:szCs w:val="24"/>
        </w:rPr>
        <w:t>Solution</w:t>
      </w:r>
      <w:proofErr w:type="spellEnd"/>
      <w:r w:rsidRPr="00CD2250">
        <w:rPr>
          <w:rFonts w:cs="Arial"/>
          <w:sz w:val="24"/>
          <w:szCs w:val="24"/>
        </w:rPr>
        <w:t xml:space="preserve"> </w:t>
      </w:r>
      <w:proofErr w:type="spellStart"/>
      <w:r w:rsidRPr="00CD2250">
        <w:rPr>
          <w:rFonts w:cs="Arial"/>
          <w:sz w:val="24"/>
          <w:szCs w:val="24"/>
        </w:rPr>
        <w:t>Research</w:t>
      </w:r>
      <w:proofErr w:type="spellEnd"/>
      <w:r w:rsidRPr="00CD2250">
        <w:rPr>
          <w:rFonts w:cs="Arial"/>
          <w:sz w:val="24"/>
          <w:szCs w:val="24"/>
          <w:vertAlign w:val="superscript"/>
        </w:rPr>
        <w:footnoteReference w:id="1"/>
      </w:r>
      <w:r w:rsidRPr="00CD2250">
        <w:rPr>
          <w:rFonts w:cs="Arial"/>
          <w:sz w:val="24"/>
          <w:szCs w:val="24"/>
        </w:rPr>
        <w:t xml:space="preserve"> intitulada ‘</w:t>
      </w:r>
      <w:r w:rsidRPr="00CD2250">
        <w:rPr>
          <w:rFonts w:cs="Arial"/>
          <w:bCs/>
          <w:sz w:val="24"/>
          <w:szCs w:val="24"/>
        </w:rPr>
        <w:t>10 Segredos para Falar com as Crianças</w:t>
      </w:r>
      <w:r w:rsidRPr="00CD2250">
        <w:rPr>
          <w:rFonts w:cs="Arial"/>
          <w:sz w:val="24"/>
          <w:szCs w:val="24"/>
        </w:rPr>
        <w:t>’ revela</w:t>
      </w:r>
      <w:r w:rsidR="00CD2250">
        <w:rPr>
          <w:rFonts w:cs="Arial"/>
          <w:sz w:val="24"/>
          <w:szCs w:val="24"/>
        </w:rPr>
        <w:t>:</w:t>
      </w:r>
      <w:r w:rsidR="00CD2250" w:rsidRPr="00CD2250">
        <w:rPr>
          <w:rFonts w:cs="Arial"/>
          <w:sz w:val="24"/>
          <w:szCs w:val="24"/>
        </w:rPr>
        <w:t xml:space="preserve"> “</w:t>
      </w:r>
      <w:r w:rsidRPr="00CD2250">
        <w:rPr>
          <w:rFonts w:cs="Arial"/>
          <w:bCs/>
          <w:sz w:val="24"/>
          <w:szCs w:val="24"/>
        </w:rPr>
        <w:t>Para prender a atenção delas (crianças), seja lúdico e divertido</w:t>
      </w:r>
      <w:r w:rsidR="001A472E" w:rsidRPr="00CD2250">
        <w:rPr>
          <w:rFonts w:cs="Arial"/>
          <w:bCs/>
          <w:sz w:val="24"/>
          <w:szCs w:val="24"/>
        </w:rPr>
        <w:t>”</w:t>
      </w:r>
      <w:r w:rsidRPr="00CD2250">
        <w:rPr>
          <w:rFonts w:cs="Arial"/>
          <w:bCs/>
          <w:sz w:val="24"/>
          <w:szCs w:val="24"/>
        </w:rPr>
        <w:t>.</w:t>
      </w:r>
      <w:bookmarkStart w:id="0" w:name="_GoBack"/>
      <w:bookmarkEnd w:id="0"/>
    </w:p>
    <w:p w:rsidR="00C36367" w:rsidRPr="00CD2250" w:rsidRDefault="00C36367" w:rsidP="00C36367">
      <w:pPr>
        <w:autoSpaceDE w:val="0"/>
        <w:autoSpaceDN w:val="0"/>
        <w:adjustRightInd w:val="0"/>
        <w:spacing w:line="360" w:lineRule="auto"/>
        <w:ind w:left="709"/>
        <w:rPr>
          <w:rFonts w:cs="Arial"/>
          <w:bCs/>
          <w:sz w:val="24"/>
          <w:szCs w:val="24"/>
        </w:rPr>
      </w:pPr>
    </w:p>
    <w:p w:rsidR="00C36367" w:rsidRPr="00CD2250" w:rsidRDefault="00C36367" w:rsidP="00C36367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>Os resultados demonstram que uma empresa especializada em comunicação com o público infantil reconhece a fundamental importância da linguagem de entretenimento para fazer com que as crianças captem melhor as mensagens transmitidas.</w:t>
      </w:r>
    </w:p>
    <w:p w:rsidR="00C36367" w:rsidRPr="00CD2250" w:rsidRDefault="00C36367" w:rsidP="00DA6378">
      <w:pPr>
        <w:spacing w:line="360" w:lineRule="auto"/>
        <w:rPr>
          <w:rFonts w:cs="Arial"/>
          <w:sz w:val="24"/>
          <w:szCs w:val="24"/>
        </w:rPr>
      </w:pPr>
    </w:p>
    <w:p w:rsidR="00C15C48" w:rsidRPr="00CD2250" w:rsidRDefault="004D0B28" w:rsidP="004D0B28">
      <w:pPr>
        <w:spacing w:line="360" w:lineRule="auto"/>
        <w:ind w:firstLine="720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 xml:space="preserve">No entanto, </w:t>
      </w:r>
      <w:r w:rsidR="00C15C48" w:rsidRPr="00CD2250">
        <w:rPr>
          <w:rFonts w:cs="Arial"/>
          <w:sz w:val="24"/>
          <w:szCs w:val="24"/>
        </w:rPr>
        <w:t xml:space="preserve">o objetivo do mercado publicitário é logrado na medida em que desrespeita características importantes do desenvolvimento infantil. </w:t>
      </w:r>
    </w:p>
    <w:p w:rsidR="00C15C48" w:rsidRPr="00CD2250" w:rsidRDefault="00C15C48" w:rsidP="004D0B28">
      <w:pPr>
        <w:spacing w:line="360" w:lineRule="auto"/>
        <w:ind w:firstLine="720"/>
        <w:rPr>
          <w:rFonts w:cs="Arial"/>
          <w:sz w:val="24"/>
          <w:szCs w:val="24"/>
        </w:rPr>
      </w:pPr>
    </w:p>
    <w:p w:rsidR="004D0B28" w:rsidRPr="00CD2250" w:rsidRDefault="00C15C48" w:rsidP="004D0B28">
      <w:pPr>
        <w:spacing w:line="360" w:lineRule="auto"/>
        <w:ind w:firstLine="720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>C</w:t>
      </w:r>
      <w:r w:rsidR="004D0B28" w:rsidRPr="00CD2250">
        <w:rPr>
          <w:rFonts w:cs="Arial"/>
          <w:sz w:val="24"/>
          <w:szCs w:val="24"/>
        </w:rPr>
        <w:t>onforme estudo realizado pela Associação Americana de Psicologia</w:t>
      </w:r>
      <w:r w:rsidR="004D0B28" w:rsidRPr="00CD2250">
        <w:rPr>
          <w:rStyle w:val="Refdenotaderodap"/>
          <w:rFonts w:cs="Arial"/>
          <w:sz w:val="24"/>
          <w:szCs w:val="24"/>
        </w:rPr>
        <w:footnoteReference w:id="2"/>
      </w:r>
      <w:r w:rsidR="004D0B28" w:rsidRPr="00CD2250">
        <w:rPr>
          <w:rFonts w:cs="Arial"/>
          <w:sz w:val="24"/>
          <w:szCs w:val="24"/>
        </w:rPr>
        <w:t xml:space="preserve">, um indivíduo consegue ter uma compreensão madura de anúncios publicitários quando adquire duas habilidades fundamentais: (i) o poder de discernir em um nível de percepção conteúdo comercial de conteúdo </w:t>
      </w:r>
      <w:proofErr w:type="gramStart"/>
      <w:r w:rsidR="004D0B28" w:rsidRPr="00CD2250">
        <w:rPr>
          <w:rFonts w:cs="Arial"/>
          <w:sz w:val="24"/>
          <w:szCs w:val="24"/>
        </w:rPr>
        <w:t>não-comercial</w:t>
      </w:r>
      <w:proofErr w:type="gramEnd"/>
      <w:r w:rsidR="004D0B28" w:rsidRPr="00CD2250">
        <w:rPr>
          <w:rFonts w:cs="Arial"/>
          <w:sz w:val="24"/>
          <w:szCs w:val="24"/>
        </w:rPr>
        <w:t>; e (</w:t>
      </w:r>
      <w:proofErr w:type="spellStart"/>
      <w:r w:rsidR="004D0B28" w:rsidRPr="00CD2250">
        <w:rPr>
          <w:rFonts w:cs="Arial"/>
          <w:sz w:val="24"/>
          <w:szCs w:val="24"/>
        </w:rPr>
        <w:t>ii</w:t>
      </w:r>
      <w:proofErr w:type="spellEnd"/>
      <w:r w:rsidR="004D0B28" w:rsidRPr="00CD2250">
        <w:rPr>
          <w:rFonts w:cs="Arial"/>
          <w:sz w:val="24"/>
          <w:szCs w:val="24"/>
        </w:rPr>
        <w:t>) o poder de atribuir intenção persuasiva à publicidade e atribuir um certo ceticismo à interpretação de mensagens comerciais a partir de tais conhecimentos.</w:t>
      </w:r>
    </w:p>
    <w:p w:rsidR="004D0B28" w:rsidRPr="00CD2250" w:rsidRDefault="004D0B28" w:rsidP="004D0B28">
      <w:pPr>
        <w:spacing w:line="360" w:lineRule="auto"/>
        <w:ind w:firstLine="720"/>
        <w:rPr>
          <w:rFonts w:cs="Arial"/>
          <w:sz w:val="24"/>
          <w:szCs w:val="24"/>
        </w:rPr>
      </w:pPr>
    </w:p>
    <w:p w:rsidR="004D0B28" w:rsidRPr="00CD2250" w:rsidRDefault="004D0B28" w:rsidP="004D0B28">
      <w:pPr>
        <w:spacing w:line="360" w:lineRule="auto"/>
        <w:ind w:firstLine="720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lastRenderedPageBreak/>
        <w:t>Essa compreensão madura não é inata. Segundo ERLING BJÜRSTROM</w:t>
      </w:r>
      <w:r w:rsidRPr="00CD2250">
        <w:rPr>
          <w:rStyle w:val="Refdenotaderodap"/>
          <w:rFonts w:cs="Arial"/>
          <w:sz w:val="24"/>
          <w:szCs w:val="24"/>
        </w:rPr>
        <w:footnoteReference w:id="3"/>
      </w:r>
      <w:r w:rsidRPr="00CD2250">
        <w:rPr>
          <w:rFonts w:cs="Arial"/>
          <w:sz w:val="24"/>
          <w:szCs w:val="24"/>
        </w:rPr>
        <w:t xml:space="preserve">, </w:t>
      </w:r>
      <w:r w:rsidRPr="00CD2250">
        <w:rPr>
          <w:rFonts w:cs="Arial"/>
          <w:bCs/>
          <w:sz w:val="24"/>
          <w:szCs w:val="24"/>
        </w:rPr>
        <w:t>as crianças, assim consideradas as pessoas de até 12 anos de idade, não têm condições de entender sozinhas as mensagens publicitárias que lhes são dirigidas, por não conseguirem, justamente, distingui-las da programação na qual são inseridas, nem, tampouco, compreender seu caráter persuasivo</w:t>
      </w:r>
      <w:r w:rsidRPr="00CD2250">
        <w:rPr>
          <w:rFonts w:cs="Arial"/>
          <w:sz w:val="24"/>
          <w:szCs w:val="24"/>
        </w:rPr>
        <w:t>.</w:t>
      </w:r>
    </w:p>
    <w:p w:rsidR="004D0B28" w:rsidRPr="00CD2250" w:rsidRDefault="004D0B28" w:rsidP="00DA6378">
      <w:pPr>
        <w:spacing w:line="360" w:lineRule="auto"/>
        <w:rPr>
          <w:rFonts w:cs="Arial"/>
          <w:sz w:val="24"/>
          <w:szCs w:val="24"/>
        </w:rPr>
      </w:pPr>
    </w:p>
    <w:p w:rsidR="00F9625A" w:rsidRPr="00CD2250" w:rsidRDefault="00D14371" w:rsidP="00DA6378">
      <w:pPr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 xml:space="preserve">Nesse aspecto, </w:t>
      </w:r>
      <w:r w:rsidR="004D0B28" w:rsidRPr="00CD2250">
        <w:rPr>
          <w:rFonts w:cs="Arial"/>
          <w:sz w:val="24"/>
          <w:szCs w:val="24"/>
        </w:rPr>
        <w:t>a</w:t>
      </w:r>
      <w:r w:rsidRPr="00CD2250">
        <w:rPr>
          <w:rFonts w:cs="Arial"/>
          <w:sz w:val="24"/>
          <w:szCs w:val="24"/>
        </w:rPr>
        <w:t xml:space="preserve"> falta de maturidade bio-psicológica na infância dificulta o reconhecimento e </w:t>
      </w:r>
      <w:r w:rsidR="004D0B28" w:rsidRPr="00CD2250">
        <w:rPr>
          <w:rFonts w:cs="Arial"/>
          <w:sz w:val="24"/>
          <w:szCs w:val="24"/>
        </w:rPr>
        <w:t xml:space="preserve">a </w:t>
      </w:r>
      <w:r w:rsidRPr="00CD2250">
        <w:rPr>
          <w:rFonts w:cs="Arial"/>
          <w:sz w:val="24"/>
          <w:szCs w:val="24"/>
        </w:rPr>
        <w:t>reflexão sobre os elementos publicitários contidos em jogos</w:t>
      </w:r>
      <w:r w:rsidR="00A06F77" w:rsidRPr="00CD2250">
        <w:rPr>
          <w:rFonts w:cs="Arial"/>
          <w:sz w:val="24"/>
          <w:szCs w:val="24"/>
        </w:rPr>
        <w:t>, histórias</w:t>
      </w:r>
      <w:r w:rsidR="00DA6378" w:rsidRPr="00CD2250">
        <w:rPr>
          <w:rFonts w:cs="Arial"/>
          <w:sz w:val="24"/>
          <w:szCs w:val="24"/>
        </w:rPr>
        <w:t xml:space="preserve">, sites de internet, revistas em quadrinhos, espetáculos circenses, peças de teatro </w:t>
      </w:r>
      <w:r w:rsidR="00A06F77" w:rsidRPr="00CD2250">
        <w:rPr>
          <w:rFonts w:cs="Arial"/>
          <w:sz w:val="24"/>
          <w:szCs w:val="24"/>
        </w:rPr>
        <w:t xml:space="preserve">e outras </w:t>
      </w:r>
      <w:r w:rsidR="00DA6378" w:rsidRPr="00CD2250">
        <w:rPr>
          <w:rFonts w:cs="Arial"/>
          <w:sz w:val="24"/>
          <w:szCs w:val="24"/>
        </w:rPr>
        <w:t>atividades</w:t>
      </w:r>
      <w:r w:rsidR="00A06F77" w:rsidRPr="00CD2250">
        <w:rPr>
          <w:rFonts w:cs="Arial"/>
          <w:sz w:val="24"/>
          <w:szCs w:val="24"/>
        </w:rPr>
        <w:t xml:space="preserve"> lúdicas</w:t>
      </w:r>
      <w:r w:rsidRPr="00CD2250">
        <w:rPr>
          <w:rFonts w:cs="Arial"/>
          <w:sz w:val="24"/>
          <w:szCs w:val="24"/>
        </w:rPr>
        <w:t xml:space="preserve">. </w:t>
      </w:r>
      <w:r w:rsidR="00A06F77" w:rsidRPr="00CD2250">
        <w:rPr>
          <w:rFonts w:cs="Arial"/>
          <w:sz w:val="24"/>
          <w:szCs w:val="24"/>
        </w:rPr>
        <w:t>Se a</w:t>
      </w:r>
      <w:r w:rsidRPr="00CD2250">
        <w:rPr>
          <w:rFonts w:cs="Arial"/>
          <w:sz w:val="24"/>
          <w:szCs w:val="24"/>
        </w:rPr>
        <w:t xml:space="preserve"> criança enxerga os </w:t>
      </w:r>
      <w:r w:rsidR="00A06F77" w:rsidRPr="00CD2250">
        <w:rPr>
          <w:rFonts w:cs="Arial"/>
          <w:sz w:val="24"/>
          <w:szCs w:val="24"/>
        </w:rPr>
        <w:t>produtos/serviços da anunciante em um jogo, por exemplo, ainda que não entenda a razão d</w:t>
      </w:r>
      <w:r w:rsidR="00C36367" w:rsidRPr="00CD2250">
        <w:rPr>
          <w:rFonts w:cs="Arial"/>
          <w:sz w:val="24"/>
          <w:szCs w:val="24"/>
        </w:rPr>
        <w:t xml:space="preserve">e </w:t>
      </w:r>
      <w:r w:rsidR="00A06F77" w:rsidRPr="00CD2250">
        <w:rPr>
          <w:rFonts w:cs="Arial"/>
          <w:sz w:val="24"/>
          <w:szCs w:val="24"/>
        </w:rPr>
        <w:t>aquilo estar ali</w:t>
      </w:r>
      <w:r w:rsidRPr="00CD2250">
        <w:rPr>
          <w:rFonts w:cs="Arial"/>
          <w:sz w:val="24"/>
          <w:szCs w:val="24"/>
        </w:rPr>
        <w:t xml:space="preserve">, os efeitos da publicidade </w:t>
      </w:r>
      <w:r w:rsidR="00A06F77" w:rsidRPr="00CD2250">
        <w:rPr>
          <w:rFonts w:cs="Arial"/>
          <w:sz w:val="24"/>
          <w:szCs w:val="24"/>
        </w:rPr>
        <w:t>surtirão</w:t>
      </w:r>
      <w:r w:rsidRPr="00CD2250">
        <w:rPr>
          <w:rFonts w:cs="Arial"/>
          <w:sz w:val="24"/>
          <w:szCs w:val="24"/>
        </w:rPr>
        <w:t xml:space="preserve"> da mesma maneira: ela grava a imagem do produto</w:t>
      </w:r>
      <w:r w:rsidR="00A06F77" w:rsidRPr="00CD2250">
        <w:rPr>
          <w:rFonts w:cs="Arial"/>
          <w:sz w:val="24"/>
          <w:szCs w:val="24"/>
        </w:rPr>
        <w:t>/marca e facilmente</w:t>
      </w:r>
      <w:r w:rsidRPr="00CD2250">
        <w:rPr>
          <w:rFonts w:cs="Arial"/>
          <w:sz w:val="24"/>
          <w:szCs w:val="24"/>
        </w:rPr>
        <w:t xml:space="preserve"> </w:t>
      </w:r>
      <w:r w:rsidR="00F9625A" w:rsidRPr="00CD2250">
        <w:rPr>
          <w:rFonts w:cs="Arial"/>
          <w:sz w:val="24"/>
          <w:szCs w:val="24"/>
        </w:rPr>
        <w:t xml:space="preserve">a </w:t>
      </w:r>
      <w:r w:rsidRPr="00CD2250">
        <w:rPr>
          <w:rFonts w:cs="Arial"/>
          <w:sz w:val="24"/>
          <w:szCs w:val="24"/>
        </w:rPr>
        <w:t>reconhecerá mais tarde nas prateleiras do supermercado</w:t>
      </w:r>
      <w:r w:rsidR="00A06F77" w:rsidRPr="00CD2250">
        <w:rPr>
          <w:rFonts w:cs="Arial"/>
          <w:sz w:val="24"/>
          <w:szCs w:val="24"/>
        </w:rPr>
        <w:t xml:space="preserve"> ou nas lojas de um shopping</w:t>
      </w:r>
      <w:r w:rsidRPr="00CD2250">
        <w:rPr>
          <w:rFonts w:cs="Arial"/>
          <w:sz w:val="24"/>
          <w:szCs w:val="24"/>
        </w:rPr>
        <w:t xml:space="preserve">. </w:t>
      </w:r>
    </w:p>
    <w:p w:rsidR="00F9625A" w:rsidRPr="00CD2250" w:rsidRDefault="00F9625A" w:rsidP="00DA6378">
      <w:pPr>
        <w:spacing w:line="360" w:lineRule="auto"/>
        <w:rPr>
          <w:rFonts w:cs="Arial"/>
          <w:sz w:val="24"/>
          <w:szCs w:val="24"/>
        </w:rPr>
      </w:pPr>
    </w:p>
    <w:p w:rsidR="00D14371" w:rsidRPr="00CD2250" w:rsidRDefault="00D14371" w:rsidP="00DA6378">
      <w:pPr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 xml:space="preserve">Assim, a mescla de publicidade e entretenimento causa duplo efeito oneroso à criança: dificuldade de reconhecimento da comunicação mercadológica e, ainda, confusão entre o prazer provocado pela atividade e o prazer pela visão dos próprios elementos da atividade – no caso, os produtos da </w:t>
      </w:r>
      <w:r w:rsidR="00AC0C74" w:rsidRPr="00CD2250">
        <w:rPr>
          <w:rFonts w:cs="Arial"/>
          <w:sz w:val="24"/>
          <w:szCs w:val="24"/>
        </w:rPr>
        <w:t>marca</w:t>
      </w:r>
      <w:r w:rsidRPr="00CD2250">
        <w:rPr>
          <w:rFonts w:cs="Arial"/>
          <w:sz w:val="24"/>
          <w:szCs w:val="24"/>
        </w:rPr>
        <w:t>. A empresa cuida de tornar a o público infantil afeito ao produto, pela repetição de imagens, associadas ao prazer e diversão, sem expor claramente para os pequenos suas reais intenções.</w:t>
      </w:r>
    </w:p>
    <w:p w:rsidR="00D14371" w:rsidRPr="00CD2250" w:rsidRDefault="00D14371" w:rsidP="00DA6378">
      <w:pPr>
        <w:spacing w:line="360" w:lineRule="auto"/>
        <w:rPr>
          <w:rFonts w:cs="Arial"/>
          <w:sz w:val="24"/>
          <w:szCs w:val="24"/>
        </w:rPr>
      </w:pPr>
    </w:p>
    <w:p w:rsidR="002B5E36" w:rsidRPr="00CD2250" w:rsidRDefault="002B5E36" w:rsidP="00DA6378">
      <w:pPr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 xml:space="preserve">Além disso, </w:t>
      </w:r>
      <w:r w:rsidR="00C36367" w:rsidRPr="00CD2250">
        <w:rPr>
          <w:rFonts w:cs="Arial"/>
          <w:sz w:val="24"/>
          <w:szCs w:val="24"/>
        </w:rPr>
        <w:t xml:space="preserve">em geral, </w:t>
      </w:r>
      <w:r w:rsidRPr="00CD2250">
        <w:rPr>
          <w:rFonts w:cs="Arial"/>
          <w:sz w:val="24"/>
          <w:szCs w:val="24"/>
        </w:rPr>
        <w:t>não veicula claramente as qualidades do produto anunciado, visto que a principal função da publicidade é associar o produto a situações lúdicas e prazerosas, visando unicamente à venda do produto, ao mesmo tempo em que deixa de lado as qualidades deste, sobrepondo-se a ele os valores impostos pela publicidade.</w:t>
      </w:r>
    </w:p>
    <w:p w:rsidR="00C15C48" w:rsidRPr="00CD2250" w:rsidRDefault="00C15C48" w:rsidP="00C15C48">
      <w:pPr>
        <w:spacing w:line="360" w:lineRule="auto"/>
        <w:ind w:firstLine="0"/>
        <w:rPr>
          <w:rFonts w:cs="Arial"/>
          <w:sz w:val="24"/>
          <w:szCs w:val="24"/>
        </w:rPr>
      </w:pPr>
    </w:p>
    <w:p w:rsidR="00DA6378" w:rsidRPr="00CD2250" w:rsidRDefault="00DA6378" w:rsidP="00DA6378">
      <w:pPr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lastRenderedPageBreak/>
        <w:t>Nesse sentido, pretende-se que a criança seja seduzida por um dos símbolos da marca</w:t>
      </w:r>
      <w:r w:rsidR="00C36367" w:rsidRPr="00CD2250">
        <w:rPr>
          <w:rFonts w:cs="Arial"/>
          <w:sz w:val="24"/>
          <w:szCs w:val="24"/>
        </w:rPr>
        <w:t>, e assim começa</w:t>
      </w:r>
      <w:r w:rsidRPr="00CD2250">
        <w:rPr>
          <w:rFonts w:cs="Arial"/>
          <w:sz w:val="24"/>
          <w:szCs w:val="24"/>
        </w:rPr>
        <w:t xml:space="preserve"> seu processo de fidelização que </w:t>
      </w:r>
      <w:r w:rsidR="00C36367" w:rsidRPr="00CD2250">
        <w:rPr>
          <w:rFonts w:cs="Arial"/>
          <w:sz w:val="24"/>
          <w:szCs w:val="24"/>
        </w:rPr>
        <w:t>se pretende</w:t>
      </w:r>
      <w:r w:rsidRPr="00CD2250">
        <w:rPr>
          <w:rFonts w:cs="Arial"/>
          <w:sz w:val="24"/>
          <w:szCs w:val="24"/>
        </w:rPr>
        <w:t>, por parte da empresa, atingir o período do berço ao túmulo. Entende NICOLAS MONTIGNEAUX:</w:t>
      </w:r>
    </w:p>
    <w:p w:rsidR="00DA6378" w:rsidRPr="00CD2250" w:rsidRDefault="00DA6378" w:rsidP="00DA6378">
      <w:pPr>
        <w:spacing w:line="360" w:lineRule="auto"/>
        <w:ind w:left="709"/>
        <w:rPr>
          <w:rFonts w:cs="Arial"/>
          <w:sz w:val="24"/>
          <w:szCs w:val="24"/>
        </w:rPr>
      </w:pPr>
    </w:p>
    <w:p w:rsidR="00DA6378" w:rsidRPr="00CD2250" w:rsidRDefault="00DA6378" w:rsidP="00CD2250">
      <w:pPr>
        <w:spacing w:line="276" w:lineRule="auto"/>
        <w:ind w:left="2268" w:firstLine="0"/>
        <w:rPr>
          <w:rFonts w:cs="Arial"/>
          <w:b/>
          <w:sz w:val="22"/>
          <w:szCs w:val="22"/>
        </w:rPr>
      </w:pPr>
      <w:r w:rsidRPr="00CD2250">
        <w:rPr>
          <w:rFonts w:cs="Arial"/>
          <w:sz w:val="22"/>
          <w:szCs w:val="22"/>
        </w:rPr>
        <w:t xml:space="preserve">Mas as marcas que procuram seduzir e conquistar a fidelidade dos jovens consumidores </w:t>
      </w:r>
      <w:proofErr w:type="gramStart"/>
      <w:r w:rsidRPr="00CD2250">
        <w:rPr>
          <w:rFonts w:cs="Arial"/>
          <w:sz w:val="22"/>
          <w:szCs w:val="22"/>
        </w:rPr>
        <w:t>devem estabelecer</w:t>
      </w:r>
      <w:proofErr w:type="gramEnd"/>
      <w:r w:rsidRPr="00CD2250">
        <w:rPr>
          <w:rFonts w:cs="Arial"/>
          <w:sz w:val="22"/>
          <w:szCs w:val="22"/>
        </w:rPr>
        <w:t xml:space="preserve"> com eles um </w:t>
      </w:r>
      <w:r w:rsidRPr="00CD2250">
        <w:rPr>
          <w:rFonts w:cs="Arial"/>
          <w:b/>
          <w:sz w:val="22"/>
          <w:szCs w:val="22"/>
        </w:rPr>
        <w:t xml:space="preserve">relacionamento mais profundo e mais durável. </w:t>
      </w:r>
      <w:r w:rsidRPr="00CD2250">
        <w:rPr>
          <w:rFonts w:cs="Arial"/>
          <w:sz w:val="22"/>
          <w:szCs w:val="22"/>
        </w:rPr>
        <w:t xml:space="preserve">Não podem se contentar em ser conhecidas pelo maior número possível de consumidores ou de veicular uma imagem de modernidade ou de dinamismo. </w:t>
      </w:r>
      <w:r w:rsidRPr="00CD2250">
        <w:rPr>
          <w:rFonts w:cs="Arial"/>
          <w:b/>
          <w:sz w:val="22"/>
          <w:szCs w:val="22"/>
        </w:rPr>
        <w:t>Para que a criança se sinta atraída pela marca ela deverá desenvolver com a criança um verdadeiro e durável relacionamento.</w:t>
      </w:r>
    </w:p>
    <w:p w:rsidR="00DA6378" w:rsidRPr="00CD2250" w:rsidRDefault="00DA6378" w:rsidP="00CD225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CD2250">
        <w:rPr>
          <w:rFonts w:cs="Arial"/>
          <w:sz w:val="22"/>
          <w:szCs w:val="22"/>
        </w:rPr>
        <w:t>(...)</w:t>
      </w:r>
    </w:p>
    <w:p w:rsidR="00DA6378" w:rsidRPr="00CD2250" w:rsidRDefault="00DA6378" w:rsidP="00CD2250">
      <w:pPr>
        <w:spacing w:line="276" w:lineRule="auto"/>
        <w:ind w:left="2268" w:firstLine="0"/>
        <w:rPr>
          <w:rFonts w:cs="Arial"/>
          <w:b/>
          <w:sz w:val="22"/>
          <w:szCs w:val="22"/>
        </w:rPr>
      </w:pPr>
      <w:r w:rsidRPr="00CD2250">
        <w:rPr>
          <w:rFonts w:cs="Arial"/>
          <w:sz w:val="22"/>
          <w:szCs w:val="22"/>
        </w:rPr>
        <w:t xml:space="preserve">Quando a marca ‘fala’ à criança, esta se sente conhecida e reconhecida. Está no centro da relação, relação que a tranquiliza, visto que, assim, a criança existe aos olhos da marca. </w:t>
      </w:r>
      <w:r w:rsidRPr="00CD2250">
        <w:rPr>
          <w:rFonts w:cs="Arial"/>
          <w:b/>
          <w:sz w:val="22"/>
          <w:szCs w:val="22"/>
        </w:rPr>
        <w:t>Dessa maneira, a marca se aproxima da criança e faz parte do seu cotidiano. A marca entende a criança, e, eventualmente, poderá ajudá-la. Essa familiaridade com a marca dá tranquilidade à criança.</w:t>
      </w:r>
    </w:p>
    <w:p w:rsidR="00DA6378" w:rsidRPr="00CD2250" w:rsidRDefault="00DA6378" w:rsidP="00CD2250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CD2250">
        <w:rPr>
          <w:rFonts w:cs="Arial"/>
          <w:sz w:val="22"/>
          <w:szCs w:val="22"/>
        </w:rPr>
        <w:t>O relacionamento entre a marca e a criança não é uma comunicação em sentido único. Supostamente, há uma troca, uma interatividade. A relação deve ser entendida pela criança como algo vivo</w:t>
      </w:r>
      <w:r w:rsidRPr="00CD2250">
        <w:rPr>
          <w:rFonts w:cs="Arial"/>
          <w:b/>
          <w:sz w:val="22"/>
          <w:szCs w:val="22"/>
        </w:rPr>
        <w:t>. A marca mobilizará a criança, solicitará sua curiosidade e estimulará sua imaginação. A criança deverá se colocar em ação, ler, descobrir, adivinhar, responder a questionamentos, mostrar-se astuta: atitudes que, nessa idade, lhe dão muito prazer.</w:t>
      </w:r>
      <w:r w:rsidR="00C36367" w:rsidRPr="00CD2250">
        <w:rPr>
          <w:rFonts w:cs="Arial"/>
          <w:b/>
          <w:sz w:val="22"/>
          <w:szCs w:val="22"/>
        </w:rPr>
        <w:t xml:space="preserve"> </w:t>
      </w:r>
      <w:r w:rsidR="00C36367" w:rsidRPr="00CD2250">
        <w:rPr>
          <w:rFonts w:cs="Arial"/>
          <w:sz w:val="22"/>
          <w:szCs w:val="22"/>
        </w:rPr>
        <w:t>(grifos inseridos)</w:t>
      </w:r>
    </w:p>
    <w:p w:rsidR="00DA6378" w:rsidRPr="00CD2250" w:rsidRDefault="00DA6378" w:rsidP="00C36367">
      <w:pPr>
        <w:spacing w:line="360" w:lineRule="auto"/>
        <w:ind w:left="2268" w:firstLine="0"/>
        <w:rPr>
          <w:rFonts w:cs="Arial"/>
          <w:sz w:val="22"/>
          <w:szCs w:val="22"/>
        </w:rPr>
      </w:pPr>
    </w:p>
    <w:p w:rsidR="004D0B28" w:rsidRPr="00CD2250" w:rsidRDefault="00DA6378" w:rsidP="00DA6378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 xml:space="preserve">Desta forma, verifica-se que a criança, em seu processo de formação, ainda não apresenta capacidade plena de desenvolver um pensamento crítico em face da publicidade a ela dirigida, e acaba sendo convencida pelas informações externas que lhe chegam, especialmente quando veiculadas por </w:t>
      </w:r>
      <w:r w:rsidR="001A472E" w:rsidRPr="00CD2250">
        <w:rPr>
          <w:rFonts w:cs="Arial"/>
          <w:sz w:val="24"/>
          <w:szCs w:val="24"/>
        </w:rPr>
        <w:t xml:space="preserve">modos </w:t>
      </w:r>
      <w:r w:rsidRPr="00CD2250">
        <w:rPr>
          <w:rFonts w:cs="Arial"/>
          <w:sz w:val="24"/>
          <w:szCs w:val="24"/>
        </w:rPr>
        <w:t xml:space="preserve">familiares e de seu apreço, como são </w:t>
      </w:r>
      <w:r w:rsidR="001A472E" w:rsidRPr="00CD2250">
        <w:rPr>
          <w:rFonts w:cs="Arial"/>
          <w:sz w:val="24"/>
          <w:szCs w:val="24"/>
        </w:rPr>
        <w:t xml:space="preserve">as formas de </w:t>
      </w:r>
      <w:r w:rsidR="004D0B28" w:rsidRPr="00CD2250">
        <w:rPr>
          <w:rFonts w:cs="Arial"/>
          <w:sz w:val="24"/>
          <w:szCs w:val="24"/>
        </w:rPr>
        <w:t>entretenimento</w:t>
      </w:r>
      <w:r w:rsidR="0022616D" w:rsidRPr="00CD2250">
        <w:rPr>
          <w:rFonts w:cs="Arial"/>
          <w:sz w:val="24"/>
          <w:szCs w:val="24"/>
        </w:rPr>
        <w:t>.</w:t>
      </w:r>
    </w:p>
    <w:p w:rsidR="00DA6378" w:rsidRPr="00CD2250" w:rsidRDefault="00DA6378" w:rsidP="00DA6378">
      <w:pPr>
        <w:spacing w:line="360" w:lineRule="auto"/>
        <w:ind w:left="709" w:firstLine="0"/>
        <w:rPr>
          <w:rFonts w:cs="Arial"/>
          <w:sz w:val="24"/>
          <w:szCs w:val="24"/>
        </w:rPr>
      </w:pPr>
    </w:p>
    <w:p w:rsidR="00DA6378" w:rsidRPr="00CD2250" w:rsidRDefault="00DA6378" w:rsidP="00DA6378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 xml:space="preserve">Diante disso, questiona-se não somente o direcionamento de publicidade ao público infantil, mas também a forma abusiva que é utilizada, que coloca as mensagens comerciais de maneira que dificulta ou até impossibilita a percepção da criança sobre o caráter mercadológico do conteúdo. Não se trata aqui de proteção excessiva ou alienação da criança da dinâmica social, mas sim da preservação da saúde </w:t>
      </w:r>
      <w:r w:rsidRPr="00CD2250">
        <w:rPr>
          <w:rFonts w:cs="Arial"/>
          <w:sz w:val="24"/>
          <w:szCs w:val="24"/>
        </w:rPr>
        <w:lastRenderedPageBreak/>
        <w:t>da infância, considerando que os pequenos possuem inteligência e esperteza diretamente relacionadas às suas experiências de vida e grau de desenvolvimento cognitivo. Não se pode exigir ou esperar das crianças, de modo geral, raciocínios mais complexos e conhecimento certo das intenções persuasivas das empresas, assim como não se exige que alunos de ensino fundamental entendam conteúdos de ensino superior.</w:t>
      </w:r>
    </w:p>
    <w:p w:rsidR="008358F8" w:rsidRPr="00CD2250" w:rsidRDefault="008358F8" w:rsidP="00DA6378">
      <w:pPr>
        <w:spacing w:line="360" w:lineRule="auto"/>
        <w:rPr>
          <w:rFonts w:cs="Arial"/>
          <w:sz w:val="24"/>
          <w:szCs w:val="24"/>
        </w:rPr>
      </w:pPr>
    </w:p>
    <w:p w:rsidR="008358F8" w:rsidRPr="00CD2250" w:rsidRDefault="001A472E" w:rsidP="00DA6378">
      <w:pPr>
        <w:spacing w:line="360" w:lineRule="auto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>C</w:t>
      </w:r>
      <w:r w:rsidR="000B52ED" w:rsidRPr="00CD2250">
        <w:rPr>
          <w:rFonts w:cs="Arial"/>
          <w:sz w:val="24"/>
          <w:szCs w:val="24"/>
        </w:rPr>
        <w:t xml:space="preserve">onclui-se que ao misturar </w:t>
      </w:r>
      <w:r w:rsidRPr="00CD2250">
        <w:rPr>
          <w:rFonts w:cs="Arial"/>
          <w:sz w:val="24"/>
          <w:szCs w:val="24"/>
        </w:rPr>
        <w:t>suas marcas a formas de entretenimento e diversões infantis</w:t>
      </w:r>
      <w:r w:rsidR="0066040C" w:rsidRPr="00CD2250">
        <w:rPr>
          <w:rFonts w:cs="Arial"/>
          <w:sz w:val="24"/>
          <w:szCs w:val="24"/>
        </w:rPr>
        <w:t xml:space="preserve"> a</w:t>
      </w:r>
      <w:r w:rsidR="002B5E36" w:rsidRPr="00CD2250">
        <w:rPr>
          <w:rFonts w:cs="Arial"/>
          <w:sz w:val="24"/>
          <w:szCs w:val="24"/>
        </w:rPr>
        <w:t>s</w:t>
      </w:r>
      <w:r w:rsidR="0066040C" w:rsidRPr="00CD2250">
        <w:rPr>
          <w:rFonts w:cs="Arial"/>
          <w:sz w:val="24"/>
          <w:szCs w:val="24"/>
        </w:rPr>
        <w:t xml:space="preserve"> empresa</w:t>
      </w:r>
      <w:r w:rsidR="002B5E36" w:rsidRPr="00CD2250">
        <w:rPr>
          <w:rFonts w:cs="Arial"/>
          <w:sz w:val="24"/>
          <w:szCs w:val="24"/>
        </w:rPr>
        <w:t xml:space="preserve">s se valem </w:t>
      </w:r>
      <w:r w:rsidR="0066040C" w:rsidRPr="00CD2250">
        <w:rPr>
          <w:rFonts w:cs="Arial"/>
          <w:sz w:val="24"/>
          <w:szCs w:val="24"/>
        </w:rPr>
        <w:t>da inexperiência do público infan</w:t>
      </w:r>
      <w:r w:rsidR="00112B1E" w:rsidRPr="00CD2250">
        <w:rPr>
          <w:rFonts w:cs="Arial"/>
          <w:sz w:val="24"/>
          <w:szCs w:val="24"/>
        </w:rPr>
        <w:t>til para vender seus produtos</w:t>
      </w:r>
      <w:r w:rsidR="00CC4E72" w:rsidRPr="00CD2250">
        <w:rPr>
          <w:rFonts w:cs="Arial"/>
          <w:sz w:val="24"/>
          <w:szCs w:val="24"/>
        </w:rPr>
        <w:t xml:space="preserve">, </w:t>
      </w:r>
      <w:r w:rsidR="002B5E36" w:rsidRPr="00CD2250">
        <w:rPr>
          <w:rFonts w:cs="Arial"/>
          <w:sz w:val="24"/>
          <w:szCs w:val="24"/>
        </w:rPr>
        <w:t xml:space="preserve">o que configura </w:t>
      </w:r>
      <w:r w:rsidR="00CC4E72" w:rsidRPr="00CD2250">
        <w:rPr>
          <w:rFonts w:cs="Arial"/>
          <w:sz w:val="24"/>
          <w:szCs w:val="24"/>
        </w:rPr>
        <w:t xml:space="preserve">postura ilegal e antiética, pois </w:t>
      </w:r>
      <w:r w:rsidR="002B5E36" w:rsidRPr="00CD2250">
        <w:rPr>
          <w:rFonts w:cs="Arial"/>
          <w:sz w:val="24"/>
          <w:szCs w:val="24"/>
        </w:rPr>
        <w:t>se vale</w:t>
      </w:r>
      <w:r w:rsidR="00CC4E72" w:rsidRPr="00CD2250">
        <w:rPr>
          <w:rFonts w:cs="Arial"/>
          <w:sz w:val="24"/>
          <w:szCs w:val="24"/>
        </w:rPr>
        <w:t xml:space="preserve"> da inexperiência de um público alvo que não é capaz de diferenciar a comunicação cultural e de entretenimento, daquela mercadológica. </w:t>
      </w:r>
    </w:p>
    <w:p w:rsidR="00522770" w:rsidRPr="00CD2250" w:rsidRDefault="00522770" w:rsidP="00DA6378">
      <w:pPr>
        <w:spacing w:line="360" w:lineRule="auto"/>
        <w:ind w:firstLine="0"/>
        <w:rPr>
          <w:rFonts w:cs="Arial"/>
          <w:sz w:val="24"/>
          <w:szCs w:val="24"/>
        </w:rPr>
      </w:pPr>
      <w:r w:rsidRPr="00CD2250">
        <w:rPr>
          <w:rFonts w:cs="Arial"/>
          <w:sz w:val="24"/>
          <w:szCs w:val="24"/>
        </w:rPr>
        <w:tab/>
      </w:r>
    </w:p>
    <w:sectPr w:rsidR="00522770" w:rsidRPr="00CD2250" w:rsidSect="00090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C" w:rsidRDefault="007F44FC" w:rsidP="00D14371">
      <w:r>
        <w:separator/>
      </w:r>
    </w:p>
  </w:endnote>
  <w:endnote w:type="continuationSeparator" w:id="0">
    <w:p w:rsidR="007F44FC" w:rsidRDefault="007F44FC" w:rsidP="00D1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C" w:rsidRDefault="007F44FC" w:rsidP="00D14371">
      <w:r>
        <w:separator/>
      </w:r>
    </w:p>
  </w:footnote>
  <w:footnote w:type="continuationSeparator" w:id="0">
    <w:p w:rsidR="007F44FC" w:rsidRDefault="007F44FC" w:rsidP="00D14371">
      <w:r>
        <w:continuationSeparator/>
      </w:r>
    </w:p>
  </w:footnote>
  <w:footnote w:id="1">
    <w:p w:rsidR="00C36367" w:rsidRPr="00CD2250" w:rsidRDefault="00C36367" w:rsidP="00C36367">
      <w:pPr>
        <w:pStyle w:val="Textodenotaderodap"/>
        <w:rPr>
          <w:rFonts w:asciiTheme="minorHAnsi" w:hAnsiTheme="minorHAnsi" w:cs="Arial"/>
          <w:sz w:val="20"/>
        </w:rPr>
      </w:pPr>
      <w:r w:rsidRPr="00CD2250">
        <w:rPr>
          <w:rStyle w:val="Refdenotaderodap"/>
          <w:rFonts w:asciiTheme="minorHAnsi" w:hAnsiTheme="minorHAnsi" w:cs="Arial"/>
          <w:sz w:val="20"/>
        </w:rPr>
        <w:footnoteRef/>
      </w:r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proofErr w:type="gramStart"/>
      <w:r w:rsidRPr="00CD2250">
        <w:rPr>
          <w:rFonts w:asciiTheme="minorHAnsi" w:hAnsiTheme="minorHAnsi" w:cs="Arial"/>
          <w:sz w:val="20"/>
          <w:lang w:val="en-US"/>
        </w:rPr>
        <w:t>Pesquisa Nickelodeon Business Solution Research.</w:t>
      </w:r>
      <w:proofErr w:type="gramEnd"/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r w:rsidRPr="00CD2250">
        <w:rPr>
          <w:rFonts w:asciiTheme="minorHAnsi" w:hAnsiTheme="minorHAnsi" w:cs="Arial"/>
          <w:i/>
          <w:sz w:val="20"/>
        </w:rPr>
        <w:t>10 Segredos para Falar com as Crianças (Que você esqueceu porque cresceu)</w:t>
      </w:r>
      <w:r w:rsidRPr="00CD2250">
        <w:rPr>
          <w:rFonts w:asciiTheme="minorHAnsi" w:hAnsiTheme="minorHAnsi" w:cs="Arial"/>
          <w:sz w:val="20"/>
        </w:rPr>
        <w:t xml:space="preserve">, 2007. </w:t>
      </w:r>
    </w:p>
    <w:p w:rsidR="00C36367" w:rsidRPr="00CD2250" w:rsidRDefault="007F44FC" w:rsidP="00C36367">
      <w:pPr>
        <w:pStyle w:val="Textodenotaderodap"/>
        <w:rPr>
          <w:rFonts w:asciiTheme="minorHAnsi" w:hAnsiTheme="minorHAnsi" w:cs="Arial"/>
          <w:sz w:val="20"/>
        </w:rPr>
      </w:pPr>
      <w:hyperlink r:id="rId1" w:history="1">
        <w:r w:rsidR="00760508" w:rsidRPr="00CD2250">
          <w:rPr>
            <w:rStyle w:val="Hyperlink"/>
            <w:rFonts w:asciiTheme="minorHAnsi" w:hAnsiTheme="minorHAnsi" w:cs="Arial"/>
            <w:sz w:val="20"/>
          </w:rPr>
          <w:t>http://biblioteca.alana.org.br/biblioteca/CriancaConsumo/Biblioteca2.aspx?v=6&amp;pes=34</w:t>
        </w:r>
      </w:hyperlink>
      <w:r w:rsidR="00C36367" w:rsidRPr="00CD2250">
        <w:rPr>
          <w:rFonts w:asciiTheme="minorHAnsi" w:hAnsiTheme="minorHAnsi" w:cs="Arial"/>
          <w:b/>
          <w:sz w:val="20"/>
        </w:rPr>
        <w:t>.</w:t>
      </w:r>
      <w:r w:rsidR="00760508" w:rsidRPr="00CD2250">
        <w:rPr>
          <w:rFonts w:asciiTheme="minorHAnsi" w:hAnsiTheme="minorHAnsi" w:cs="Arial"/>
          <w:sz w:val="20"/>
        </w:rPr>
        <w:t xml:space="preserve"> Acesso em 1</w:t>
      </w:r>
      <w:r w:rsidR="00C36367" w:rsidRPr="00CD2250">
        <w:rPr>
          <w:rFonts w:asciiTheme="minorHAnsi" w:hAnsiTheme="minorHAnsi" w:cs="Arial"/>
          <w:sz w:val="20"/>
        </w:rPr>
        <w:t>6.</w:t>
      </w:r>
      <w:r w:rsidR="00760508" w:rsidRPr="00CD2250">
        <w:rPr>
          <w:rFonts w:asciiTheme="minorHAnsi" w:hAnsiTheme="minorHAnsi" w:cs="Arial"/>
          <w:sz w:val="20"/>
        </w:rPr>
        <w:t>11.2013.</w:t>
      </w:r>
    </w:p>
  </w:footnote>
  <w:footnote w:id="2">
    <w:p w:rsidR="004D0B28" w:rsidRPr="001A472E" w:rsidRDefault="004D0B28" w:rsidP="004D0B28">
      <w:pPr>
        <w:pStyle w:val="Textodenotaderodap"/>
        <w:rPr>
          <w:rFonts w:ascii="Arial" w:hAnsi="Arial" w:cs="Arial"/>
          <w:sz w:val="20"/>
        </w:rPr>
      </w:pPr>
      <w:r w:rsidRPr="00CD2250">
        <w:rPr>
          <w:rStyle w:val="Refdenotaderodap"/>
          <w:rFonts w:asciiTheme="minorHAnsi" w:hAnsiTheme="minorHAnsi" w:cs="Arial"/>
          <w:sz w:val="20"/>
        </w:rPr>
        <w:footnoteRef/>
      </w:r>
      <w:r w:rsidRPr="00CD2250">
        <w:rPr>
          <w:rFonts w:asciiTheme="minorHAnsi" w:hAnsiTheme="minorHAnsi" w:cs="Arial"/>
          <w:sz w:val="20"/>
        </w:rPr>
        <w:t xml:space="preserve"> </w:t>
      </w:r>
      <w:hyperlink r:id="rId2" w:history="1">
        <w:r w:rsidR="001A472E" w:rsidRPr="00CD2250">
          <w:rPr>
            <w:rStyle w:val="Hyperlink"/>
            <w:rFonts w:asciiTheme="minorHAnsi" w:hAnsiTheme="minorHAnsi" w:cs="Arial"/>
            <w:sz w:val="20"/>
          </w:rPr>
          <w:t>http://biblioteca.alana.org.br/biblioteca/CriancaConsumo/Biblioteca2.aspx?v=6&amp;pes=39</w:t>
        </w:r>
      </w:hyperlink>
      <w:r w:rsidR="001A472E" w:rsidRPr="00CD2250">
        <w:rPr>
          <w:rFonts w:asciiTheme="minorHAnsi" w:hAnsiTheme="minorHAnsi" w:cs="Arial"/>
          <w:sz w:val="20"/>
        </w:rPr>
        <w:t>. Acesso em 16.11.2013.</w:t>
      </w:r>
    </w:p>
  </w:footnote>
  <w:footnote w:id="3">
    <w:p w:rsidR="004D0B28" w:rsidRPr="00CD2250" w:rsidRDefault="004D0B28" w:rsidP="004D0B28">
      <w:pPr>
        <w:pStyle w:val="Textodenotaderodap"/>
        <w:rPr>
          <w:rFonts w:asciiTheme="minorHAnsi" w:hAnsiTheme="minorHAnsi" w:cs="Arial"/>
          <w:sz w:val="20"/>
          <w:lang w:val="en-US"/>
        </w:rPr>
      </w:pPr>
      <w:r w:rsidRPr="00CD2250">
        <w:rPr>
          <w:rStyle w:val="Refdenotaderodap"/>
          <w:rFonts w:asciiTheme="minorHAnsi" w:hAnsiTheme="minorHAnsi" w:cs="Arial"/>
          <w:sz w:val="20"/>
        </w:rPr>
        <w:footnoteRef/>
      </w:r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proofErr w:type="gramStart"/>
      <w:r w:rsidRPr="00CD2250">
        <w:rPr>
          <w:rFonts w:asciiTheme="minorHAnsi" w:hAnsiTheme="minorHAnsi" w:cs="Arial"/>
          <w:sz w:val="20"/>
          <w:lang w:val="en-US"/>
        </w:rPr>
        <w:t xml:space="preserve">Children and television advertising – Swedish Consumer Agency </w:t>
      </w:r>
      <w:proofErr w:type="spellStart"/>
      <w:r w:rsidRPr="00CD2250">
        <w:rPr>
          <w:rFonts w:asciiTheme="minorHAnsi" w:hAnsiTheme="minorHAnsi" w:cs="Arial"/>
          <w:sz w:val="20"/>
          <w:lang w:val="en-US"/>
        </w:rPr>
        <w:t>Erling</w:t>
      </w:r>
      <w:proofErr w:type="spellEnd"/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proofErr w:type="spellStart"/>
      <w:r w:rsidRPr="00CD2250">
        <w:rPr>
          <w:rFonts w:asciiTheme="minorHAnsi" w:hAnsiTheme="minorHAnsi" w:cs="Arial"/>
          <w:sz w:val="20"/>
          <w:lang w:val="en-US"/>
        </w:rPr>
        <w:t>Bjurström</w:t>
      </w:r>
      <w:proofErr w:type="spellEnd"/>
      <w:r w:rsidRPr="00CD2250">
        <w:rPr>
          <w:rFonts w:asciiTheme="minorHAnsi" w:hAnsiTheme="minorHAnsi" w:cs="Arial"/>
          <w:sz w:val="20"/>
          <w:lang w:val="en-US"/>
        </w:rPr>
        <w:t xml:space="preserve">, </w:t>
      </w:r>
      <w:proofErr w:type="spellStart"/>
      <w:r w:rsidRPr="00CD2250">
        <w:rPr>
          <w:rFonts w:asciiTheme="minorHAnsi" w:hAnsiTheme="minorHAnsi" w:cs="Arial"/>
          <w:sz w:val="20"/>
          <w:lang w:val="en-US"/>
        </w:rPr>
        <w:t>sociólogo</w:t>
      </w:r>
      <w:proofErr w:type="spellEnd"/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proofErr w:type="spellStart"/>
      <w:r w:rsidRPr="00CD2250">
        <w:rPr>
          <w:rFonts w:asciiTheme="minorHAnsi" w:hAnsiTheme="minorHAnsi" w:cs="Arial"/>
          <w:sz w:val="20"/>
          <w:lang w:val="en-US"/>
        </w:rPr>
        <w:t>contratado</w:t>
      </w:r>
      <w:proofErr w:type="spellEnd"/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proofErr w:type="spellStart"/>
      <w:r w:rsidRPr="00CD2250">
        <w:rPr>
          <w:rFonts w:asciiTheme="minorHAnsi" w:hAnsiTheme="minorHAnsi" w:cs="Arial"/>
          <w:sz w:val="20"/>
          <w:lang w:val="en-US"/>
        </w:rPr>
        <w:t>pelo</w:t>
      </w:r>
      <w:proofErr w:type="spellEnd"/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proofErr w:type="spellStart"/>
      <w:r w:rsidRPr="00CD2250">
        <w:rPr>
          <w:rFonts w:asciiTheme="minorHAnsi" w:hAnsiTheme="minorHAnsi" w:cs="Arial"/>
          <w:sz w:val="20"/>
          <w:lang w:val="en-US"/>
        </w:rPr>
        <w:t>Governo</w:t>
      </w:r>
      <w:proofErr w:type="spellEnd"/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proofErr w:type="spellStart"/>
      <w:r w:rsidRPr="00CD2250">
        <w:rPr>
          <w:rFonts w:asciiTheme="minorHAnsi" w:hAnsiTheme="minorHAnsi" w:cs="Arial"/>
          <w:sz w:val="20"/>
          <w:lang w:val="en-US"/>
        </w:rPr>
        <w:t>Sueco</w:t>
      </w:r>
      <w:proofErr w:type="spellEnd"/>
      <w:r w:rsidRPr="00CD2250">
        <w:rPr>
          <w:rFonts w:asciiTheme="minorHAnsi" w:hAnsiTheme="minorHAnsi" w:cs="Arial"/>
          <w:sz w:val="20"/>
          <w:lang w:val="en-US"/>
        </w:rPr>
        <w:t xml:space="preserve"> </w:t>
      </w:r>
      <w:proofErr w:type="spellStart"/>
      <w:r w:rsidRPr="00CD2250">
        <w:rPr>
          <w:rFonts w:asciiTheme="minorHAnsi" w:hAnsiTheme="minorHAnsi" w:cs="Arial"/>
          <w:sz w:val="20"/>
          <w:lang w:val="en-US"/>
        </w:rPr>
        <w:t>em</w:t>
      </w:r>
      <w:proofErr w:type="spellEnd"/>
      <w:r w:rsidRPr="00CD2250">
        <w:rPr>
          <w:rFonts w:asciiTheme="minorHAnsi" w:hAnsiTheme="minorHAnsi" w:cs="Arial"/>
          <w:sz w:val="20"/>
          <w:lang w:val="en-US"/>
        </w:rPr>
        <w:t xml:space="preserve"> 1994-95.</w:t>
      </w:r>
      <w:proofErr w:type="gramEnd"/>
    </w:p>
    <w:p w:rsidR="004D0B28" w:rsidRPr="001A472E" w:rsidRDefault="007F44FC" w:rsidP="004D0B28">
      <w:pPr>
        <w:pStyle w:val="Textodenotaderodap"/>
        <w:rPr>
          <w:rFonts w:ascii="Arial" w:hAnsi="Arial" w:cs="Arial"/>
          <w:sz w:val="20"/>
        </w:rPr>
      </w:pPr>
      <w:hyperlink r:id="rId3" w:history="1">
        <w:r w:rsidR="004D0B28" w:rsidRPr="00CD2250">
          <w:rPr>
            <w:rStyle w:val="Hyperlink"/>
            <w:rFonts w:asciiTheme="minorHAnsi" w:hAnsiTheme="minorHAnsi" w:cs="Arial"/>
            <w:sz w:val="20"/>
            <w:lang w:val="en-US"/>
          </w:rPr>
          <w:t>http://biblioteca.alana.org.br/banco_arquivos/arquivos/docs/biblioteca/pesquisas/children_tv_ads_bjurstrom_port.pdf</w:t>
        </w:r>
      </w:hyperlink>
      <w:r w:rsidR="004D0B28" w:rsidRPr="00CD2250">
        <w:rPr>
          <w:rFonts w:asciiTheme="minorHAnsi" w:hAnsiTheme="minorHAnsi" w:cs="Arial"/>
          <w:sz w:val="20"/>
          <w:lang w:val="en-US"/>
        </w:rPr>
        <w:t xml:space="preserve">. </w:t>
      </w:r>
      <w:r w:rsidR="004D0B28" w:rsidRPr="00CD2250">
        <w:rPr>
          <w:rFonts w:asciiTheme="minorHAnsi" w:hAnsiTheme="minorHAnsi" w:cs="Arial"/>
          <w:sz w:val="20"/>
        </w:rPr>
        <w:t>Acesso em 16.11.2013.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C06809C"/>
    <w:lvl w:ilvl="0" w:tplc="4D088482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50564A05"/>
    <w:multiLevelType w:val="hybridMultilevel"/>
    <w:tmpl w:val="F10CEC5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B2"/>
    <w:rsid w:val="00090709"/>
    <w:rsid w:val="000B52ED"/>
    <w:rsid w:val="000B7F13"/>
    <w:rsid w:val="00112B1E"/>
    <w:rsid w:val="00147E28"/>
    <w:rsid w:val="00173817"/>
    <w:rsid w:val="001A117E"/>
    <w:rsid w:val="001A472E"/>
    <w:rsid w:val="001C1884"/>
    <w:rsid w:val="0022616D"/>
    <w:rsid w:val="0026195B"/>
    <w:rsid w:val="002B5E36"/>
    <w:rsid w:val="002E166A"/>
    <w:rsid w:val="002F7B8D"/>
    <w:rsid w:val="003A0394"/>
    <w:rsid w:val="00444A7C"/>
    <w:rsid w:val="004661DB"/>
    <w:rsid w:val="004D0B28"/>
    <w:rsid w:val="00522770"/>
    <w:rsid w:val="0058496C"/>
    <w:rsid w:val="00614A13"/>
    <w:rsid w:val="0061726C"/>
    <w:rsid w:val="0066040C"/>
    <w:rsid w:val="00760508"/>
    <w:rsid w:val="0076344C"/>
    <w:rsid w:val="007937BF"/>
    <w:rsid w:val="007F44FC"/>
    <w:rsid w:val="008324B0"/>
    <w:rsid w:val="008358F8"/>
    <w:rsid w:val="00996622"/>
    <w:rsid w:val="009C5BC4"/>
    <w:rsid w:val="00A06F77"/>
    <w:rsid w:val="00A22506"/>
    <w:rsid w:val="00AC0C74"/>
    <w:rsid w:val="00B94DFB"/>
    <w:rsid w:val="00BA7FC9"/>
    <w:rsid w:val="00BC1D7C"/>
    <w:rsid w:val="00BE3415"/>
    <w:rsid w:val="00C15C48"/>
    <w:rsid w:val="00C344F8"/>
    <w:rsid w:val="00C36367"/>
    <w:rsid w:val="00C43F76"/>
    <w:rsid w:val="00CC4E72"/>
    <w:rsid w:val="00CD2250"/>
    <w:rsid w:val="00CE1F98"/>
    <w:rsid w:val="00D14371"/>
    <w:rsid w:val="00DA4768"/>
    <w:rsid w:val="00DA6378"/>
    <w:rsid w:val="00DD1BF4"/>
    <w:rsid w:val="00DF4AC4"/>
    <w:rsid w:val="00E32C1A"/>
    <w:rsid w:val="00F52344"/>
    <w:rsid w:val="00F74C64"/>
    <w:rsid w:val="00F9625A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paragraph" w:styleId="Ttulo2">
    <w:name w:val="heading 2"/>
    <w:basedOn w:val="Normal"/>
    <w:next w:val="Normal"/>
    <w:link w:val="Ttulo2Char"/>
    <w:semiHidden/>
    <w:unhideWhenUsed/>
    <w:qFormat/>
    <w:rsid w:val="00DA6378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61726C"/>
    <w:pPr>
      <w:ind w:firstLine="0"/>
    </w:pPr>
    <w:rPr>
      <w:rFonts w:ascii="Calibri" w:hAnsi="Calibri"/>
    </w:rPr>
  </w:style>
  <w:style w:type="character" w:customStyle="1" w:styleId="TextodenotaderodapChar">
    <w:name w:val="Texto de nota de rodapé Char"/>
    <w:basedOn w:val="Fontepargpadro"/>
    <w:link w:val="Textodenotaderodap"/>
    <w:rsid w:val="0061726C"/>
    <w:rPr>
      <w:rFonts w:ascii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BC4"/>
    <w:rPr>
      <w:rFonts w:ascii="Tahoma" w:hAnsi="Tahoma" w:cs="Tahoma"/>
      <w:sz w:val="16"/>
      <w:szCs w:val="16"/>
    </w:rPr>
  </w:style>
  <w:style w:type="character" w:styleId="Refdenotaderodap">
    <w:name w:val="footnote reference"/>
    <w:rsid w:val="00D14371"/>
    <w:rPr>
      <w:vertAlign w:val="superscript"/>
    </w:rPr>
  </w:style>
  <w:style w:type="character" w:styleId="Hyperlink">
    <w:name w:val="Hyperlink"/>
    <w:rsid w:val="00D1437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962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625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625A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62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625A"/>
    <w:rPr>
      <w:b/>
      <w:bCs/>
      <w:sz w:val="20"/>
    </w:rPr>
  </w:style>
  <w:style w:type="character" w:customStyle="1" w:styleId="Ttulo2Char">
    <w:name w:val="Título 2 Char"/>
    <w:basedOn w:val="Fontepargpadro"/>
    <w:link w:val="Ttulo2"/>
    <w:semiHidden/>
    <w:rsid w:val="00DA637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DA6378"/>
    <w:pPr>
      <w:spacing w:after="200" w:line="276" w:lineRule="auto"/>
      <w:ind w:left="720" w:firstLine="0"/>
      <w:contextualSpacing/>
      <w:jc w:val="left"/>
    </w:pPr>
    <w:rPr>
      <w:rFonts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blioteca.alana.org.br/banco_arquivos/arquivos/docs/biblioteca/pesquisas/children_tv_ads_bjurstrom_port.pdf" TargetMode="External"/><Relationship Id="rId2" Type="http://schemas.openxmlformats.org/officeDocument/2006/relationships/hyperlink" Target="http://biblioteca.alana.org.br/biblioteca/CriancaConsumo/Biblioteca2.aspx?v=6&amp;pes=39" TargetMode="External"/><Relationship Id="rId1" Type="http://schemas.openxmlformats.org/officeDocument/2006/relationships/hyperlink" Target="http://biblioteca.alana.org.br/biblioteca/CriancaConsumo/Biblioteca2.aspx?v=6&amp;pes=3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548E-6A90-4E5A-9B5F-DEC816E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Renata Franco</cp:lastModifiedBy>
  <cp:revision>6</cp:revision>
  <dcterms:created xsi:type="dcterms:W3CDTF">2013-11-16T00:28:00Z</dcterms:created>
  <dcterms:modified xsi:type="dcterms:W3CDTF">2013-11-22T20:49:00Z</dcterms:modified>
</cp:coreProperties>
</file>