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32" w:type="dxa"/>
        <w:tblLayout w:type="fixed"/>
        <w:tblLook w:val="01E0" w:firstRow="1" w:lastRow="1" w:firstColumn="1" w:lastColumn="1" w:noHBand="0" w:noVBand="0"/>
      </w:tblPr>
      <w:tblGrid>
        <w:gridCol w:w="5548"/>
        <w:gridCol w:w="4092"/>
      </w:tblGrid>
      <w:tr w:rsidR="00025D29" w:rsidRPr="002F4565" w:rsidTr="0049090C">
        <w:trPr>
          <w:trHeight w:hRule="exact" w:val="443"/>
        </w:trPr>
        <w:tc>
          <w:tcPr>
            <w:tcW w:w="5548" w:type="dxa"/>
            <w:tcBorders>
              <w:top w:val="nil"/>
              <w:left w:val="nil"/>
              <w:bottom w:val="single" w:sz="5" w:space="0" w:color="000000"/>
              <w:right w:val="nil"/>
            </w:tcBorders>
          </w:tcPr>
          <w:p w:rsidR="00025D29" w:rsidRPr="002F4565" w:rsidRDefault="00BE10F9" w:rsidP="00BE10F9">
            <w:pPr>
              <w:pStyle w:val="TableParagraph"/>
              <w:spacing w:before="24"/>
              <w:ind w:left="1260"/>
              <w:rPr>
                <w:rFonts w:ascii="Times New Roman" w:eastAsia="Times New Roman" w:hAnsi="Times New Roman" w:cs="Times New Roman"/>
                <w:sz w:val="28"/>
                <w:szCs w:val="28"/>
                <w:lang w:val="pt-BR"/>
              </w:rPr>
            </w:pPr>
            <w:r w:rsidRPr="002F4565">
              <w:rPr>
                <w:rFonts w:ascii="Times New Roman"/>
                <w:spacing w:val="-1"/>
                <w:sz w:val="28"/>
                <w:lang w:val="pt-BR"/>
              </w:rPr>
              <w:t>ONU</w:t>
            </w:r>
          </w:p>
        </w:tc>
        <w:tc>
          <w:tcPr>
            <w:tcW w:w="4092" w:type="dxa"/>
            <w:tcBorders>
              <w:top w:val="nil"/>
              <w:left w:val="nil"/>
              <w:bottom w:val="single" w:sz="5" w:space="0" w:color="000000"/>
              <w:right w:val="nil"/>
            </w:tcBorders>
          </w:tcPr>
          <w:p w:rsidR="00025D29" w:rsidRPr="002F4565" w:rsidRDefault="00025D29" w:rsidP="0049090C">
            <w:pPr>
              <w:pStyle w:val="TableParagraph"/>
              <w:spacing w:before="64" w:line="367" w:lineRule="exact"/>
              <w:jc w:val="right"/>
              <w:rPr>
                <w:rFonts w:ascii="Times New Roman" w:eastAsia="Times New Roman" w:hAnsi="Times New Roman" w:cs="Times New Roman"/>
                <w:sz w:val="20"/>
                <w:szCs w:val="20"/>
                <w:lang w:val="pt-BR"/>
              </w:rPr>
            </w:pPr>
            <w:r w:rsidRPr="002F4565">
              <w:rPr>
                <w:rFonts w:ascii="Times New Roman"/>
                <w:b/>
                <w:w w:val="95"/>
                <w:sz w:val="32"/>
                <w:lang w:val="pt-BR"/>
              </w:rPr>
              <w:t>A</w:t>
            </w:r>
            <w:r w:rsidRPr="002F4565">
              <w:rPr>
                <w:rFonts w:ascii="Times New Roman"/>
                <w:w w:val="95"/>
                <w:sz w:val="20"/>
                <w:lang w:val="pt-BR"/>
              </w:rPr>
              <w:t>/HRC/26/31</w:t>
            </w:r>
          </w:p>
        </w:tc>
      </w:tr>
      <w:tr w:rsidR="00025D29" w:rsidRPr="002F4565" w:rsidTr="0049090C">
        <w:trPr>
          <w:trHeight w:hRule="exact" w:val="1210"/>
        </w:trPr>
        <w:tc>
          <w:tcPr>
            <w:tcW w:w="5548" w:type="dxa"/>
            <w:tcBorders>
              <w:top w:val="single" w:sz="5" w:space="0" w:color="000000"/>
              <w:left w:val="nil"/>
              <w:bottom w:val="nil"/>
              <w:right w:val="nil"/>
            </w:tcBorders>
          </w:tcPr>
          <w:p w:rsidR="00025D29" w:rsidRPr="002F4565" w:rsidRDefault="00025D29" w:rsidP="00BE10F9">
            <w:pPr>
              <w:pStyle w:val="TableParagraph"/>
              <w:spacing w:before="118"/>
              <w:ind w:left="92"/>
              <w:rPr>
                <w:rFonts w:ascii="Times New Roman" w:eastAsia="Times New Roman" w:hAnsi="Times New Roman" w:cs="Times New Roman"/>
                <w:sz w:val="40"/>
                <w:szCs w:val="40"/>
                <w:lang w:val="pt-BR"/>
              </w:rPr>
            </w:pPr>
            <w:r w:rsidRPr="002F4565">
              <w:rPr>
                <w:noProof/>
                <w:position w:val="-53"/>
                <w:lang w:val="pt-BR" w:eastAsia="pt-BR"/>
              </w:rPr>
              <w:drawing>
                <wp:inline distT="0" distB="0" distL="0" distR="0" wp14:anchorId="5728325B" wp14:editId="3C20A074">
                  <wp:extent cx="685345"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85345" cy="561975"/>
                          </a:xfrm>
                          <a:prstGeom prst="rect">
                            <a:avLst/>
                          </a:prstGeom>
                        </pic:spPr>
                      </pic:pic>
                    </a:graphicData>
                  </a:graphic>
                </wp:inline>
              </w:drawing>
            </w:r>
            <w:r w:rsidRPr="002F4565">
              <w:rPr>
                <w:rFonts w:ascii="Times New Roman"/>
                <w:sz w:val="20"/>
                <w:lang w:val="pt-BR"/>
              </w:rPr>
              <w:t xml:space="preserve">  </w:t>
            </w:r>
            <w:r w:rsidRPr="002F4565">
              <w:rPr>
                <w:rFonts w:ascii="Times New Roman"/>
                <w:b/>
                <w:spacing w:val="-1"/>
                <w:sz w:val="40"/>
                <w:lang w:val="pt-BR"/>
              </w:rPr>
              <w:t>Assemb</w:t>
            </w:r>
            <w:r w:rsidR="00BE10F9" w:rsidRPr="002F4565">
              <w:rPr>
                <w:rFonts w:ascii="Times New Roman"/>
                <w:b/>
                <w:spacing w:val="-1"/>
                <w:sz w:val="40"/>
                <w:lang w:val="pt-BR"/>
              </w:rPr>
              <w:t>leia Geral</w:t>
            </w:r>
          </w:p>
        </w:tc>
        <w:tc>
          <w:tcPr>
            <w:tcW w:w="4092" w:type="dxa"/>
            <w:tcBorders>
              <w:top w:val="single" w:sz="5" w:space="0" w:color="000000"/>
              <w:left w:val="nil"/>
              <w:bottom w:val="nil"/>
              <w:right w:val="nil"/>
            </w:tcBorders>
          </w:tcPr>
          <w:p w:rsidR="00025D29" w:rsidRPr="002F4565" w:rsidRDefault="00025D29" w:rsidP="0049090C">
            <w:pPr>
              <w:pStyle w:val="TableParagraph"/>
              <w:spacing w:before="3"/>
              <w:rPr>
                <w:rFonts w:ascii="Times New Roman" w:eastAsia="Times New Roman" w:hAnsi="Times New Roman" w:cs="Times New Roman"/>
                <w:sz w:val="20"/>
                <w:szCs w:val="20"/>
                <w:lang w:val="pt-BR"/>
              </w:rPr>
            </w:pPr>
            <w:bookmarkStart w:id="0" w:name="_GoBack"/>
            <w:bookmarkEnd w:id="0"/>
          </w:p>
          <w:p w:rsidR="00025D29" w:rsidRPr="002F4565" w:rsidRDefault="00025D29" w:rsidP="00BE10F9">
            <w:pPr>
              <w:pStyle w:val="TableParagraph"/>
              <w:ind w:left="699" w:right="1742"/>
              <w:rPr>
                <w:rFonts w:ascii="Times New Roman" w:eastAsia="Times New Roman" w:hAnsi="Times New Roman" w:cs="Times New Roman"/>
                <w:sz w:val="20"/>
                <w:szCs w:val="20"/>
                <w:lang w:val="pt-BR"/>
              </w:rPr>
            </w:pPr>
            <w:r w:rsidRPr="002F4565">
              <w:rPr>
                <w:rFonts w:ascii="Times New Roman"/>
                <w:spacing w:val="-1"/>
                <w:sz w:val="20"/>
                <w:lang w:val="pt-BR"/>
              </w:rPr>
              <w:t>Distr</w:t>
            </w:r>
            <w:r w:rsidR="00BE10F9" w:rsidRPr="002F4565">
              <w:rPr>
                <w:rFonts w:ascii="Times New Roman"/>
                <w:spacing w:val="-1"/>
                <w:sz w:val="20"/>
                <w:lang w:val="pt-BR"/>
              </w:rPr>
              <w:t>ibui</w:t>
            </w:r>
            <w:r w:rsidR="00BE10F9" w:rsidRPr="002F4565">
              <w:rPr>
                <w:rFonts w:ascii="Times New Roman"/>
                <w:spacing w:val="-1"/>
                <w:sz w:val="20"/>
                <w:lang w:val="pt-BR"/>
              </w:rPr>
              <w:t>çã</w:t>
            </w:r>
            <w:r w:rsidR="00BE10F9" w:rsidRPr="002F4565">
              <w:rPr>
                <w:rFonts w:ascii="Times New Roman"/>
                <w:spacing w:val="-1"/>
                <w:sz w:val="20"/>
                <w:lang w:val="pt-BR"/>
              </w:rPr>
              <w:t>o</w:t>
            </w:r>
            <w:r w:rsidRPr="002F4565">
              <w:rPr>
                <w:rFonts w:ascii="Times New Roman"/>
                <w:spacing w:val="-1"/>
                <w:sz w:val="20"/>
                <w:lang w:val="pt-BR"/>
              </w:rPr>
              <w:t>:</w:t>
            </w:r>
            <w:r w:rsidRPr="002F4565">
              <w:rPr>
                <w:rFonts w:ascii="Times New Roman"/>
                <w:spacing w:val="-13"/>
                <w:sz w:val="20"/>
                <w:lang w:val="pt-BR"/>
              </w:rPr>
              <w:t xml:space="preserve"> </w:t>
            </w:r>
            <w:r w:rsidRPr="002F4565">
              <w:rPr>
                <w:rFonts w:ascii="Times New Roman"/>
                <w:sz w:val="20"/>
                <w:lang w:val="pt-BR"/>
              </w:rPr>
              <w:t>Geral</w:t>
            </w:r>
            <w:r w:rsidR="00BE10F9" w:rsidRPr="002F4565">
              <w:rPr>
                <w:rFonts w:ascii="Times New Roman"/>
                <w:sz w:val="20"/>
                <w:lang w:val="pt-BR"/>
              </w:rPr>
              <w:t>,</w:t>
            </w:r>
            <w:r w:rsidRPr="002F4565">
              <w:rPr>
                <w:rFonts w:ascii="Times New Roman"/>
                <w:spacing w:val="26"/>
                <w:w w:val="99"/>
                <w:sz w:val="20"/>
                <w:lang w:val="pt-BR"/>
              </w:rPr>
              <w:t xml:space="preserve"> </w:t>
            </w:r>
            <w:r w:rsidRPr="002F4565">
              <w:rPr>
                <w:rFonts w:ascii="Times New Roman"/>
                <w:sz w:val="20"/>
                <w:lang w:val="pt-BR"/>
              </w:rPr>
              <w:t>1</w:t>
            </w:r>
            <w:r w:rsidR="00BE10F9" w:rsidRPr="002F4565">
              <w:rPr>
                <w:rFonts w:ascii="Times New Roman"/>
                <w:sz w:val="20"/>
                <w:lang w:val="pt-BR"/>
              </w:rPr>
              <w:t>º</w:t>
            </w:r>
            <w:r w:rsidR="00BE10F9" w:rsidRPr="002F4565">
              <w:rPr>
                <w:rFonts w:ascii="Times New Roman"/>
                <w:sz w:val="20"/>
                <w:lang w:val="pt-BR"/>
              </w:rPr>
              <w:t xml:space="preserve"> de abril de</w:t>
            </w:r>
            <w:r w:rsidRPr="002F4565">
              <w:rPr>
                <w:rFonts w:ascii="Times New Roman"/>
                <w:spacing w:val="-5"/>
                <w:sz w:val="20"/>
                <w:lang w:val="pt-BR"/>
              </w:rPr>
              <w:t xml:space="preserve"> </w:t>
            </w:r>
            <w:proofErr w:type="gramStart"/>
            <w:r w:rsidRPr="002F4565">
              <w:rPr>
                <w:rFonts w:ascii="Times New Roman"/>
                <w:spacing w:val="1"/>
                <w:sz w:val="20"/>
                <w:lang w:val="pt-BR"/>
              </w:rPr>
              <w:t>2014</w:t>
            </w:r>
            <w:proofErr w:type="gramEnd"/>
          </w:p>
          <w:p w:rsidR="00025D29" w:rsidRPr="002F4565" w:rsidRDefault="00025D29" w:rsidP="0049090C">
            <w:pPr>
              <w:pStyle w:val="TableParagraph"/>
              <w:spacing w:before="1"/>
              <w:rPr>
                <w:rFonts w:ascii="Times New Roman" w:eastAsia="Times New Roman" w:hAnsi="Times New Roman" w:cs="Times New Roman"/>
                <w:sz w:val="20"/>
                <w:szCs w:val="20"/>
                <w:lang w:val="pt-BR"/>
              </w:rPr>
            </w:pPr>
          </w:p>
          <w:p w:rsidR="00025D29" w:rsidRPr="002F4565" w:rsidRDefault="00025D29" w:rsidP="00BE10F9">
            <w:pPr>
              <w:pStyle w:val="TableParagraph"/>
              <w:ind w:left="1163"/>
              <w:rPr>
                <w:rFonts w:ascii="Times New Roman" w:eastAsia="Times New Roman" w:hAnsi="Times New Roman" w:cs="Times New Roman"/>
                <w:sz w:val="20"/>
                <w:szCs w:val="20"/>
                <w:lang w:val="pt-BR"/>
              </w:rPr>
            </w:pPr>
            <w:r w:rsidRPr="002F4565">
              <w:rPr>
                <w:rFonts w:ascii="Times New Roman"/>
                <w:spacing w:val="-1"/>
                <w:sz w:val="20"/>
                <w:lang w:val="pt-BR"/>
              </w:rPr>
              <w:t>Original:</w:t>
            </w:r>
            <w:r w:rsidRPr="002F4565">
              <w:rPr>
                <w:rFonts w:ascii="Times New Roman"/>
                <w:spacing w:val="-14"/>
                <w:sz w:val="20"/>
                <w:lang w:val="pt-BR"/>
              </w:rPr>
              <w:t xml:space="preserve"> </w:t>
            </w:r>
            <w:r w:rsidR="00BE10F9" w:rsidRPr="002F4565">
              <w:rPr>
                <w:rFonts w:ascii="Times New Roman"/>
                <w:spacing w:val="-14"/>
                <w:sz w:val="20"/>
                <w:lang w:val="pt-BR"/>
              </w:rPr>
              <w:t>Ingl</w:t>
            </w:r>
            <w:r w:rsidR="00BE10F9" w:rsidRPr="002F4565">
              <w:rPr>
                <w:rFonts w:ascii="Times New Roman"/>
                <w:spacing w:val="-14"/>
                <w:sz w:val="20"/>
                <w:lang w:val="pt-BR"/>
              </w:rPr>
              <w:t>ê</w:t>
            </w:r>
            <w:r w:rsidR="00BE10F9" w:rsidRPr="002F4565">
              <w:rPr>
                <w:rFonts w:ascii="Times New Roman"/>
                <w:spacing w:val="-14"/>
                <w:sz w:val="20"/>
                <w:lang w:val="pt-BR"/>
              </w:rPr>
              <w:t xml:space="preserve">s </w:t>
            </w:r>
          </w:p>
        </w:tc>
      </w:tr>
    </w:tbl>
    <w:p w:rsidR="00025D29" w:rsidRPr="002F4565" w:rsidRDefault="00025D29" w:rsidP="00025D29">
      <w:pPr>
        <w:rPr>
          <w:rFonts w:ascii="Times New Roman" w:eastAsia="Times New Roman" w:hAnsi="Times New Roman" w:cs="Times New Roman"/>
          <w:sz w:val="20"/>
          <w:szCs w:val="20"/>
          <w:lang w:val="pt-BR"/>
        </w:rPr>
      </w:pPr>
    </w:p>
    <w:p w:rsidR="00025D29" w:rsidRPr="002F4565" w:rsidRDefault="00025D29" w:rsidP="00025D29">
      <w:pPr>
        <w:rPr>
          <w:rFonts w:ascii="Times New Roman" w:eastAsia="Times New Roman" w:hAnsi="Times New Roman" w:cs="Times New Roman"/>
          <w:sz w:val="20"/>
          <w:szCs w:val="20"/>
          <w:lang w:val="pt-BR"/>
        </w:rPr>
      </w:pPr>
    </w:p>
    <w:p w:rsidR="00025D29" w:rsidRPr="002F4565" w:rsidRDefault="00025D29" w:rsidP="00025D29">
      <w:pPr>
        <w:spacing w:after="0" w:line="240" w:lineRule="auto"/>
        <w:rPr>
          <w:b/>
          <w:lang w:val="pt-BR"/>
        </w:rPr>
      </w:pPr>
    </w:p>
    <w:p w:rsidR="00025D29" w:rsidRPr="002F4565" w:rsidRDefault="00025D29" w:rsidP="00025D29">
      <w:pPr>
        <w:spacing w:after="0" w:line="240" w:lineRule="auto"/>
        <w:rPr>
          <w:b/>
          <w:lang w:val="pt-BR"/>
        </w:rPr>
      </w:pPr>
      <w:r w:rsidRPr="002F4565">
        <w:rPr>
          <w:b/>
          <w:lang w:val="pt-BR"/>
        </w:rPr>
        <w:t>Conselho de Direitos Humanos</w:t>
      </w:r>
    </w:p>
    <w:p w:rsidR="00025D29" w:rsidRPr="002F4565" w:rsidRDefault="00025D29" w:rsidP="00025D29">
      <w:pPr>
        <w:spacing w:after="0" w:line="240" w:lineRule="auto"/>
        <w:rPr>
          <w:b/>
          <w:lang w:val="pt-BR"/>
        </w:rPr>
      </w:pPr>
      <w:r w:rsidRPr="002F4565">
        <w:rPr>
          <w:b/>
          <w:lang w:val="pt-BR"/>
        </w:rPr>
        <w:t>26ª sessão</w:t>
      </w:r>
    </w:p>
    <w:p w:rsidR="00025D29" w:rsidRPr="002F4565" w:rsidRDefault="00025D29" w:rsidP="00025D29">
      <w:pPr>
        <w:spacing w:after="0" w:line="240" w:lineRule="auto"/>
        <w:rPr>
          <w:lang w:val="pt-BR"/>
        </w:rPr>
      </w:pPr>
      <w:r w:rsidRPr="002F4565">
        <w:rPr>
          <w:lang w:val="pt-BR"/>
        </w:rPr>
        <w:t xml:space="preserve">Item </w:t>
      </w:r>
      <w:proofErr w:type="gramStart"/>
      <w:r w:rsidRPr="002F4565">
        <w:rPr>
          <w:lang w:val="pt-BR"/>
        </w:rPr>
        <w:t>3</w:t>
      </w:r>
      <w:proofErr w:type="gramEnd"/>
      <w:r w:rsidRPr="002F4565">
        <w:rPr>
          <w:lang w:val="pt-BR"/>
        </w:rPr>
        <w:t xml:space="preserve"> da Agenda</w:t>
      </w:r>
    </w:p>
    <w:p w:rsidR="00025D29" w:rsidRPr="002F4565" w:rsidRDefault="00025D29" w:rsidP="00025D29">
      <w:pPr>
        <w:spacing w:after="0" w:line="240" w:lineRule="auto"/>
        <w:rPr>
          <w:lang w:val="pt-BR"/>
        </w:rPr>
      </w:pPr>
      <w:r w:rsidRPr="002F4565">
        <w:rPr>
          <w:lang w:val="pt-BR"/>
        </w:rPr>
        <w:t xml:space="preserve">Promoção e proteção de todos os direitos humanos, civis, políticos, econômicos, sociais e culturais, incluindo o direito ao </w:t>
      </w:r>
      <w:proofErr w:type="gramStart"/>
      <w:r w:rsidRPr="002F4565">
        <w:rPr>
          <w:lang w:val="pt-BR"/>
        </w:rPr>
        <w:t>desenvolvimento</w:t>
      </w:r>
      <w:proofErr w:type="gramEnd"/>
    </w:p>
    <w:p w:rsidR="00025D29" w:rsidRPr="002F4565" w:rsidRDefault="00025D29" w:rsidP="00025D29">
      <w:pPr>
        <w:spacing w:before="120" w:after="0" w:line="240" w:lineRule="auto"/>
        <w:rPr>
          <w:b/>
          <w:lang w:val="pt-BR"/>
        </w:rPr>
      </w:pPr>
    </w:p>
    <w:p w:rsidR="00025D29" w:rsidRPr="002F4565" w:rsidRDefault="00025D29" w:rsidP="00025D29">
      <w:pPr>
        <w:spacing w:before="120" w:after="0" w:line="240" w:lineRule="auto"/>
        <w:ind w:left="1440"/>
        <w:rPr>
          <w:b/>
          <w:lang w:val="pt-BR"/>
        </w:rPr>
      </w:pPr>
      <w:r w:rsidRPr="002F4565">
        <w:rPr>
          <w:b/>
          <w:lang w:val="pt-BR"/>
        </w:rPr>
        <w:t xml:space="preserve">Relatório do Relator Especial sobre o direito de todos </w:t>
      </w:r>
      <w:r w:rsidR="004A1529" w:rsidRPr="002F4565">
        <w:rPr>
          <w:b/>
          <w:lang w:val="pt-BR"/>
        </w:rPr>
        <w:t xml:space="preserve">à fruição </w:t>
      </w:r>
      <w:r w:rsidRPr="002F4565">
        <w:rPr>
          <w:b/>
          <w:lang w:val="pt-BR"/>
        </w:rPr>
        <w:t>dos mais elevados padrões de saúde física e mental</w:t>
      </w:r>
    </w:p>
    <w:p w:rsidR="00025D29" w:rsidRPr="002F4565" w:rsidRDefault="00025D29" w:rsidP="00025D29">
      <w:pPr>
        <w:spacing w:before="120" w:after="0" w:line="240" w:lineRule="auto"/>
        <w:ind w:left="1440"/>
        <w:rPr>
          <w:b/>
          <w:lang w:val="pt-BR"/>
        </w:rPr>
      </w:pPr>
      <w:r w:rsidRPr="002F4565">
        <w:rPr>
          <w:b/>
          <w:lang w:val="pt-BR"/>
        </w:rPr>
        <w:t xml:space="preserve">Alimentos pouco saudáveis, doenças não transmissíveis (DNTs) e direito à </w:t>
      </w:r>
      <w:proofErr w:type="gramStart"/>
      <w:r w:rsidRPr="002F4565">
        <w:rPr>
          <w:b/>
          <w:lang w:val="pt-BR"/>
        </w:rPr>
        <w:t>saúde</w:t>
      </w:r>
      <w:proofErr w:type="gramEnd"/>
    </w:p>
    <w:tbl>
      <w:tblPr>
        <w:tblStyle w:val="Tabelacomgrade"/>
        <w:tblW w:w="0" w:type="auto"/>
        <w:tblLook w:val="04A0" w:firstRow="1" w:lastRow="0" w:firstColumn="1" w:lastColumn="0" w:noHBand="0" w:noVBand="1"/>
      </w:tblPr>
      <w:tblGrid>
        <w:gridCol w:w="9054"/>
      </w:tblGrid>
      <w:tr w:rsidR="00227FD9" w:rsidRPr="00227FD9" w:rsidTr="00227FD9">
        <w:tc>
          <w:tcPr>
            <w:tcW w:w="9054" w:type="dxa"/>
          </w:tcPr>
          <w:p w:rsidR="00227FD9" w:rsidRPr="00227FD9" w:rsidRDefault="00227FD9" w:rsidP="00256FB2">
            <w:pPr>
              <w:spacing w:before="120"/>
              <w:rPr>
                <w:i/>
                <w:sz w:val="20"/>
                <w:lang w:val="pt-BR"/>
              </w:rPr>
            </w:pPr>
            <w:r w:rsidRPr="00227FD9">
              <w:rPr>
                <w:i/>
                <w:sz w:val="20"/>
                <w:lang w:val="pt-BR"/>
              </w:rPr>
              <w:t>Resumo</w:t>
            </w:r>
          </w:p>
          <w:p w:rsidR="00227FD9" w:rsidRPr="00227FD9" w:rsidRDefault="00227FD9" w:rsidP="00227FD9">
            <w:pPr>
              <w:spacing w:before="120"/>
              <w:rPr>
                <w:sz w:val="20"/>
                <w:lang w:val="pt-BR"/>
              </w:rPr>
            </w:pPr>
            <w:r w:rsidRPr="00227FD9">
              <w:rPr>
                <w:sz w:val="20"/>
                <w:lang w:val="pt-BR"/>
              </w:rPr>
              <w:t>No relatório apresentado ao Conselho de Direitos Humanos segundo a resolução 24/6, o Relator Especial sobre o direito de todos ao usufruto dos mais elevados padrões de saúde física e mental estabelece links entre alimentos pouco saudáveis e doenças não transmissíveis (DNTs) relacionadas com a dieta. O Relator Especial destaca a necessidade urgente para que os Estados abordem mudanças estruturais no contexto alimentar que prejudica o exercício do direito dos indivíduos a alimentos adequados e nutritivos – um fator subjacente ao direito à saúde. O comércio global, o aumento dos investimentos estrangeiros diretos (FDI, em inglês) no setor de alimentos e a publicidade generalizada de alimentos pouco saudáveis fizeram aumentar o consumo de alimentos pouco saudáveis, o que foi associado com DNTs relacionadas com a dieta.</w:t>
            </w:r>
          </w:p>
          <w:p w:rsidR="00227FD9" w:rsidRPr="00227FD9" w:rsidRDefault="00227FD9" w:rsidP="00227FD9">
            <w:pPr>
              <w:spacing w:before="120"/>
              <w:rPr>
                <w:sz w:val="20"/>
                <w:lang w:val="pt-BR"/>
              </w:rPr>
            </w:pPr>
            <w:r w:rsidRPr="00227FD9">
              <w:rPr>
                <w:sz w:val="20"/>
                <w:lang w:val="pt-BR"/>
              </w:rPr>
              <w:t>O Relator Especial descreve uma série de políticas para aumentar a disponibilidade e acessibilidade de opções de alimentos mais saudáveis, inclusive por meio de políticas fiscais e regulamentação da publicidade e promoção de alimentos pouco saudáveis, assim como pelo aumento de informações e conscientização sobre os riscos à saúde ocasionados por alimentos pouco saudáveis. O Relator observa as obrigações dos Estados de garantir respeito, proteção e exercício do direito à saúde e aponta as responsabilidades da indústria de alimentos de se abster de produzir, comercializar e promover alimentos pouco saudáveis. O Relator também ressalta a necessidade de vários mecanismos de responsabilização e correção pelos quais os indivíduos podem buscar reparar violações ao direito à saúde e destaca a importância de assistência e cooperação internacional na prevenção e redução do crescente ônus das DNTs relacionadas com a dieta.</w:t>
            </w:r>
          </w:p>
          <w:p w:rsidR="00227FD9" w:rsidRPr="00227FD9" w:rsidRDefault="00227FD9" w:rsidP="00227FD9">
            <w:pPr>
              <w:spacing w:before="120"/>
              <w:rPr>
                <w:sz w:val="20"/>
                <w:lang w:val="pt-BR"/>
              </w:rPr>
            </w:pPr>
            <w:r w:rsidRPr="00227FD9">
              <w:rPr>
                <w:sz w:val="20"/>
                <w:lang w:val="pt-BR"/>
              </w:rPr>
              <w:t>O Relator Especial conclui o relatório com uma série de recomendações orientadas para os Estados e para a indústria de alimentos, para que tomem medidas concretas para reduzir a produção e consumo de alimentos pouco saudáveis e aumentem a disponibilidade e acessibilidade de alternativas de alimentos mais saudáveis.</w:t>
            </w:r>
          </w:p>
          <w:p w:rsidR="00227FD9" w:rsidRPr="00227FD9" w:rsidRDefault="00227FD9" w:rsidP="00256FB2">
            <w:pPr>
              <w:spacing w:before="120"/>
              <w:rPr>
                <w:i/>
                <w:lang w:val="pt-BR"/>
              </w:rPr>
            </w:pPr>
          </w:p>
        </w:tc>
      </w:tr>
    </w:tbl>
    <w:p w:rsidR="00115B91" w:rsidRPr="002F4565" w:rsidRDefault="00115B91" w:rsidP="0051636A">
      <w:pPr>
        <w:spacing w:before="120" w:after="0" w:line="240" w:lineRule="auto"/>
        <w:rPr>
          <w:lang w:val="pt-BR"/>
        </w:rPr>
      </w:pPr>
      <w:r w:rsidRPr="002F4565">
        <w:rPr>
          <w:lang w:val="pt-BR"/>
        </w:rPr>
        <w:br w:type="page"/>
      </w:r>
    </w:p>
    <w:p w:rsidR="00115B91" w:rsidRPr="002F4565" w:rsidRDefault="00F21F55" w:rsidP="0051636A">
      <w:pPr>
        <w:spacing w:before="120" w:after="0" w:line="240" w:lineRule="auto"/>
        <w:rPr>
          <w:lang w:val="pt-BR"/>
        </w:rPr>
      </w:pPr>
      <w:r w:rsidRPr="002F4565">
        <w:rPr>
          <w:lang w:val="pt-BR"/>
        </w:rPr>
        <w:lastRenderedPageBreak/>
        <w:t>Sumário</w:t>
      </w:r>
    </w:p>
    <w:p w:rsidR="00115B91" w:rsidRPr="002F4565" w:rsidRDefault="00115B91" w:rsidP="0051636A">
      <w:pPr>
        <w:spacing w:before="120" w:after="0" w:line="240" w:lineRule="auto"/>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457"/>
        <w:gridCol w:w="222"/>
        <w:gridCol w:w="1086"/>
        <w:gridCol w:w="757"/>
      </w:tblGrid>
      <w:tr w:rsidR="00F21F55" w:rsidRPr="00304E5D" w:rsidTr="00304E5D">
        <w:tc>
          <w:tcPr>
            <w:tcW w:w="0" w:type="auto"/>
          </w:tcPr>
          <w:p w:rsidR="00F21F55" w:rsidRPr="00304E5D" w:rsidRDefault="00F21F55" w:rsidP="0051636A">
            <w:pPr>
              <w:spacing w:before="120"/>
              <w:rPr>
                <w:sz w:val="20"/>
                <w:lang w:val="pt-BR"/>
              </w:rPr>
            </w:pPr>
          </w:p>
        </w:tc>
        <w:tc>
          <w:tcPr>
            <w:tcW w:w="0" w:type="auto"/>
          </w:tcPr>
          <w:p w:rsidR="00F21F55" w:rsidRPr="00304E5D" w:rsidRDefault="00F21F55" w:rsidP="0051636A">
            <w:pPr>
              <w:spacing w:before="120"/>
              <w:rPr>
                <w:sz w:val="20"/>
                <w:lang w:val="pt-BR"/>
              </w:rPr>
            </w:pPr>
          </w:p>
        </w:tc>
        <w:tc>
          <w:tcPr>
            <w:tcW w:w="0" w:type="auto"/>
          </w:tcPr>
          <w:p w:rsidR="00F21F55" w:rsidRPr="00304E5D" w:rsidRDefault="00F21F55" w:rsidP="0051636A">
            <w:pPr>
              <w:spacing w:before="120"/>
              <w:rPr>
                <w:sz w:val="20"/>
                <w:lang w:val="pt-BR"/>
              </w:rPr>
            </w:pPr>
          </w:p>
        </w:tc>
        <w:tc>
          <w:tcPr>
            <w:tcW w:w="0" w:type="auto"/>
          </w:tcPr>
          <w:p w:rsidR="00F21F55" w:rsidRPr="00304E5D" w:rsidRDefault="00802E44" w:rsidP="00F21F55">
            <w:pPr>
              <w:spacing w:before="120"/>
              <w:rPr>
                <w:sz w:val="20"/>
                <w:lang w:val="pt-BR"/>
              </w:rPr>
            </w:pPr>
            <w:r w:rsidRPr="00304E5D">
              <w:rPr>
                <w:sz w:val="20"/>
                <w:lang w:val="pt-BR"/>
              </w:rPr>
              <w:t>Parágrafos</w:t>
            </w:r>
            <w:r w:rsidR="00F21F55" w:rsidRPr="00304E5D">
              <w:rPr>
                <w:sz w:val="20"/>
                <w:lang w:val="pt-BR"/>
              </w:rPr>
              <w:t xml:space="preserve"> </w:t>
            </w:r>
          </w:p>
        </w:tc>
        <w:tc>
          <w:tcPr>
            <w:tcW w:w="0" w:type="auto"/>
          </w:tcPr>
          <w:p w:rsidR="00F21F55" w:rsidRPr="00304E5D" w:rsidRDefault="00F21F55" w:rsidP="00802E44">
            <w:pPr>
              <w:spacing w:before="120"/>
              <w:rPr>
                <w:sz w:val="20"/>
                <w:lang w:val="pt-BR"/>
              </w:rPr>
            </w:pPr>
            <w:r w:rsidRPr="00304E5D">
              <w:rPr>
                <w:sz w:val="20"/>
                <w:lang w:val="pt-BR"/>
              </w:rPr>
              <w:t>P</w:t>
            </w:r>
            <w:r w:rsidR="00802E44" w:rsidRPr="00304E5D">
              <w:rPr>
                <w:sz w:val="20"/>
                <w:lang w:val="pt-BR"/>
              </w:rPr>
              <w:t>ágina</w:t>
            </w:r>
          </w:p>
        </w:tc>
      </w:tr>
      <w:tr w:rsidR="00F21F55" w:rsidRPr="00304E5D" w:rsidTr="00304E5D">
        <w:tc>
          <w:tcPr>
            <w:tcW w:w="0" w:type="auto"/>
          </w:tcPr>
          <w:p w:rsidR="00F21F55" w:rsidRPr="00304E5D" w:rsidRDefault="00F21F55" w:rsidP="00F21F55">
            <w:pPr>
              <w:spacing w:before="120"/>
              <w:rPr>
                <w:sz w:val="20"/>
                <w:lang w:val="pt-BR"/>
              </w:rPr>
            </w:pPr>
            <w:r w:rsidRPr="00304E5D">
              <w:rPr>
                <w:sz w:val="20"/>
                <w:lang w:val="pt-BR"/>
              </w:rPr>
              <w:t xml:space="preserve">I. </w:t>
            </w:r>
          </w:p>
        </w:tc>
        <w:tc>
          <w:tcPr>
            <w:tcW w:w="0" w:type="auto"/>
          </w:tcPr>
          <w:p w:rsidR="00F21F55" w:rsidRPr="00304E5D" w:rsidRDefault="00802E44" w:rsidP="0051636A">
            <w:pPr>
              <w:spacing w:before="120"/>
              <w:rPr>
                <w:sz w:val="20"/>
                <w:lang w:val="pt-BR"/>
              </w:rPr>
            </w:pPr>
            <w:r w:rsidRPr="00304E5D">
              <w:rPr>
                <w:sz w:val="20"/>
                <w:lang w:val="pt-BR"/>
              </w:rPr>
              <w:t>Introdução</w:t>
            </w:r>
          </w:p>
        </w:tc>
        <w:tc>
          <w:tcPr>
            <w:tcW w:w="0" w:type="auto"/>
          </w:tcPr>
          <w:p w:rsidR="00F21F55" w:rsidRPr="00304E5D" w:rsidRDefault="00F21F55" w:rsidP="0051636A">
            <w:pPr>
              <w:spacing w:before="120"/>
              <w:rPr>
                <w:sz w:val="20"/>
                <w:lang w:val="pt-BR"/>
              </w:rPr>
            </w:pPr>
          </w:p>
        </w:tc>
        <w:tc>
          <w:tcPr>
            <w:tcW w:w="0" w:type="auto"/>
          </w:tcPr>
          <w:p w:rsidR="00F21F55" w:rsidRPr="00304E5D" w:rsidRDefault="00F21F55" w:rsidP="00F21F55">
            <w:pPr>
              <w:spacing w:before="120"/>
              <w:rPr>
                <w:sz w:val="20"/>
                <w:lang w:val="pt-BR"/>
              </w:rPr>
            </w:pPr>
            <w:r w:rsidRPr="00304E5D">
              <w:rPr>
                <w:sz w:val="20"/>
                <w:lang w:val="pt-BR"/>
              </w:rPr>
              <w:t>1–4</w:t>
            </w:r>
          </w:p>
        </w:tc>
        <w:tc>
          <w:tcPr>
            <w:tcW w:w="0" w:type="auto"/>
          </w:tcPr>
          <w:p w:rsidR="00F21F55" w:rsidRPr="00304E5D" w:rsidRDefault="00F21F55" w:rsidP="0051636A">
            <w:pPr>
              <w:spacing w:before="120"/>
              <w:rPr>
                <w:sz w:val="20"/>
                <w:lang w:val="pt-BR"/>
              </w:rPr>
            </w:pPr>
            <w:proofErr w:type="gramStart"/>
            <w:r w:rsidRPr="00304E5D">
              <w:rPr>
                <w:sz w:val="20"/>
                <w:lang w:val="pt-BR"/>
              </w:rPr>
              <w:t>4</w:t>
            </w:r>
            <w:proofErr w:type="gramEnd"/>
          </w:p>
        </w:tc>
      </w:tr>
      <w:tr w:rsidR="00F21F55" w:rsidRPr="00304E5D" w:rsidTr="00304E5D">
        <w:tc>
          <w:tcPr>
            <w:tcW w:w="0" w:type="auto"/>
          </w:tcPr>
          <w:p w:rsidR="00F21F55" w:rsidRPr="00304E5D" w:rsidRDefault="00F21F55" w:rsidP="00F21F55">
            <w:pPr>
              <w:spacing w:before="120"/>
              <w:rPr>
                <w:sz w:val="20"/>
                <w:lang w:val="pt-BR"/>
              </w:rPr>
            </w:pPr>
            <w:r w:rsidRPr="00304E5D">
              <w:rPr>
                <w:sz w:val="20"/>
                <w:lang w:val="pt-BR"/>
              </w:rPr>
              <w:t xml:space="preserve">II. </w:t>
            </w:r>
          </w:p>
        </w:tc>
        <w:tc>
          <w:tcPr>
            <w:tcW w:w="0" w:type="auto"/>
          </w:tcPr>
          <w:p w:rsidR="00F21F55" w:rsidRPr="00304E5D" w:rsidRDefault="00802E44" w:rsidP="00F21F55">
            <w:pPr>
              <w:spacing w:before="120"/>
              <w:rPr>
                <w:sz w:val="20"/>
                <w:lang w:val="pt-BR"/>
              </w:rPr>
            </w:pPr>
            <w:r w:rsidRPr="00304E5D">
              <w:rPr>
                <w:sz w:val="20"/>
                <w:lang w:val="pt-BR"/>
              </w:rPr>
              <w:t>Impacto da globalização</w:t>
            </w:r>
            <w:r w:rsidR="00F21F55" w:rsidRPr="00304E5D">
              <w:rPr>
                <w:sz w:val="20"/>
                <w:lang w:val="pt-BR"/>
              </w:rPr>
              <w:t xml:space="preserve"> </w:t>
            </w:r>
            <w:r w:rsidRPr="00304E5D">
              <w:rPr>
                <w:sz w:val="20"/>
                <w:lang w:val="pt-BR"/>
              </w:rPr>
              <w:t xml:space="preserve">sobre os </w:t>
            </w:r>
            <w:r w:rsidR="00BC3868" w:rsidRPr="00304E5D">
              <w:rPr>
                <w:sz w:val="20"/>
                <w:lang w:val="pt-BR"/>
              </w:rPr>
              <w:t>sistemas alimentares</w:t>
            </w:r>
          </w:p>
        </w:tc>
        <w:tc>
          <w:tcPr>
            <w:tcW w:w="0" w:type="auto"/>
          </w:tcPr>
          <w:p w:rsidR="00F21F55" w:rsidRPr="00304E5D" w:rsidRDefault="00F21F55" w:rsidP="00F21F55">
            <w:pPr>
              <w:spacing w:before="120"/>
              <w:rPr>
                <w:sz w:val="20"/>
                <w:lang w:val="pt-BR"/>
              </w:rPr>
            </w:pPr>
          </w:p>
        </w:tc>
        <w:tc>
          <w:tcPr>
            <w:tcW w:w="0" w:type="auto"/>
          </w:tcPr>
          <w:p w:rsidR="00F21F55" w:rsidRPr="00304E5D" w:rsidRDefault="00802E44" w:rsidP="00802E44">
            <w:pPr>
              <w:spacing w:before="120"/>
              <w:rPr>
                <w:sz w:val="20"/>
                <w:lang w:val="pt-BR"/>
              </w:rPr>
            </w:pPr>
            <w:r w:rsidRPr="00304E5D">
              <w:rPr>
                <w:sz w:val="20"/>
                <w:lang w:val="pt-BR"/>
              </w:rPr>
              <w:t>5</w:t>
            </w:r>
            <w:r w:rsidR="00F21F55" w:rsidRPr="00304E5D">
              <w:rPr>
                <w:sz w:val="20"/>
                <w:lang w:val="pt-BR"/>
              </w:rPr>
              <w:t>–</w:t>
            </w:r>
            <w:r w:rsidRPr="00304E5D">
              <w:rPr>
                <w:sz w:val="20"/>
                <w:lang w:val="pt-BR"/>
              </w:rPr>
              <w:t>9</w:t>
            </w:r>
          </w:p>
        </w:tc>
        <w:tc>
          <w:tcPr>
            <w:tcW w:w="0" w:type="auto"/>
          </w:tcPr>
          <w:p w:rsidR="00F21F55" w:rsidRPr="00304E5D" w:rsidRDefault="00802E44" w:rsidP="00F21F55">
            <w:pPr>
              <w:spacing w:before="120"/>
              <w:rPr>
                <w:sz w:val="20"/>
                <w:lang w:val="pt-BR"/>
              </w:rPr>
            </w:pPr>
            <w:proofErr w:type="gramStart"/>
            <w:r w:rsidRPr="00304E5D">
              <w:rPr>
                <w:sz w:val="20"/>
                <w:lang w:val="pt-BR"/>
              </w:rPr>
              <w:t>5</w:t>
            </w:r>
            <w:proofErr w:type="gramEnd"/>
          </w:p>
        </w:tc>
      </w:tr>
      <w:tr w:rsidR="00F21F55" w:rsidRPr="00304E5D" w:rsidTr="00304E5D">
        <w:tc>
          <w:tcPr>
            <w:tcW w:w="0" w:type="auto"/>
          </w:tcPr>
          <w:p w:rsidR="00F21F55" w:rsidRPr="00304E5D" w:rsidRDefault="00F21F55" w:rsidP="00F21F55">
            <w:pPr>
              <w:spacing w:before="120"/>
              <w:rPr>
                <w:sz w:val="20"/>
                <w:lang w:val="pt-BR"/>
              </w:rPr>
            </w:pPr>
            <w:r w:rsidRPr="00304E5D">
              <w:rPr>
                <w:sz w:val="20"/>
                <w:lang w:val="pt-BR"/>
              </w:rPr>
              <w:t xml:space="preserve">III. </w:t>
            </w:r>
          </w:p>
        </w:tc>
        <w:tc>
          <w:tcPr>
            <w:tcW w:w="0" w:type="auto"/>
          </w:tcPr>
          <w:p w:rsidR="00F21F55" w:rsidRPr="00304E5D" w:rsidRDefault="00F21F55" w:rsidP="00F21F55">
            <w:pPr>
              <w:spacing w:before="120"/>
              <w:rPr>
                <w:sz w:val="20"/>
                <w:lang w:val="pt-BR"/>
              </w:rPr>
            </w:pPr>
            <w:r w:rsidRPr="00304E5D">
              <w:rPr>
                <w:sz w:val="20"/>
                <w:lang w:val="pt-BR"/>
              </w:rPr>
              <w:t xml:space="preserve">Promoção e </w:t>
            </w:r>
            <w:r w:rsidR="00BC3868" w:rsidRPr="00304E5D">
              <w:rPr>
                <w:sz w:val="20"/>
                <w:lang w:val="pt-BR"/>
              </w:rPr>
              <w:t>publicidade</w:t>
            </w:r>
            <w:r w:rsidRPr="00304E5D">
              <w:rPr>
                <w:sz w:val="20"/>
                <w:lang w:val="pt-BR"/>
              </w:rPr>
              <w:t xml:space="preserve"> de alimentos pouco saudáveis</w:t>
            </w:r>
          </w:p>
        </w:tc>
        <w:tc>
          <w:tcPr>
            <w:tcW w:w="0" w:type="auto"/>
          </w:tcPr>
          <w:p w:rsidR="00F21F55" w:rsidRPr="00304E5D" w:rsidRDefault="00F21F55" w:rsidP="00F21F55">
            <w:pPr>
              <w:spacing w:before="120"/>
              <w:rPr>
                <w:sz w:val="20"/>
                <w:lang w:val="pt-BR"/>
              </w:rPr>
            </w:pPr>
          </w:p>
        </w:tc>
        <w:tc>
          <w:tcPr>
            <w:tcW w:w="0" w:type="auto"/>
          </w:tcPr>
          <w:p w:rsidR="00F21F55" w:rsidRPr="00304E5D" w:rsidRDefault="00F21F55" w:rsidP="00802E44">
            <w:pPr>
              <w:spacing w:before="120"/>
              <w:rPr>
                <w:sz w:val="20"/>
                <w:lang w:val="pt-BR"/>
              </w:rPr>
            </w:pPr>
            <w:r w:rsidRPr="00304E5D">
              <w:rPr>
                <w:sz w:val="20"/>
                <w:lang w:val="pt-BR"/>
              </w:rPr>
              <w:t>1</w:t>
            </w:r>
            <w:r w:rsidR="00802E44" w:rsidRPr="00304E5D">
              <w:rPr>
                <w:sz w:val="20"/>
                <w:lang w:val="pt-BR"/>
              </w:rPr>
              <w:t>0</w:t>
            </w:r>
            <w:r w:rsidRPr="00304E5D">
              <w:rPr>
                <w:sz w:val="20"/>
                <w:lang w:val="pt-BR"/>
              </w:rPr>
              <w:t>–</w:t>
            </w:r>
            <w:r w:rsidR="00802E44" w:rsidRPr="00304E5D">
              <w:rPr>
                <w:sz w:val="20"/>
                <w:lang w:val="pt-BR"/>
              </w:rPr>
              <w:t>11</w:t>
            </w:r>
          </w:p>
        </w:tc>
        <w:tc>
          <w:tcPr>
            <w:tcW w:w="0" w:type="auto"/>
          </w:tcPr>
          <w:p w:rsidR="00F21F55" w:rsidRPr="00304E5D" w:rsidRDefault="00802E44" w:rsidP="00F21F55">
            <w:pPr>
              <w:spacing w:before="120"/>
              <w:rPr>
                <w:sz w:val="20"/>
                <w:lang w:val="pt-BR"/>
              </w:rPr>
            </w:pPr>
            <w:proofErr w:type="gramStart"/>
            <w:r w:rsidRPr="00304E5D">
              <w:rPr>
                <w:sz w:val="20"/>
                <w:lang w:val="pt-BR"/>
              </w:rPr>
              <w:t>7</w:t>
            </w:r>
            <w:proofErr w:type="gramEnd"/>
          </w:p>
        </w:tc>
      </w:tr>
      <w:tr w:rsidR="00F21F55" w:rsidRPr="00304E5D" w:rsidTr="00304E5D">
        <w:tc>
          <w:tcPr>
            <w:tcW w:w="0" w:type="auto"/>
          </w:tcPr>
          <w:p w:rsidR="00F21F55" w:rsidRPr="00304E5D" w:rsidRDefault="00F21F55" w:rsidP="00F21F55">
            <w:pPr>
              <w:spacing w:before="120"/>
              <w:rPr>
                <w:sz w:val="20"/>
                <w:lang w:val="pt-BR"/>
              </w:rPr>
            </w:pPr>
            <w:r w:rsidRPr="00304E5D">
              <w:rPr>
                <w:sz w:val="20"/>
                <w:lang w:val="pt-BR"/>
              </w:rPr>
              <w:t xml:space="preserve">IV. </w:t>
            </w:r>
          </w:p>
        </w:tc>
        <w:tc>
          <w:tcPr>
            <w:tcW w:w="0" w:type="auto"/>
          </w:tcPr>
          <w:p w:rsidR="00F21F55" w:rsidRPr="00304E5D" w:rsidRDefault="00802E44" w:rsidP="00E415D7">
            <w:pPr>
              <w:spacing w:before="120"/>
              <w:rPr>
                <w:sz w:val="20"/>
                <w:lang w:val="pt-BR"/>
              </w:rPr>
            </w:pPr>
            <w:r w:rsidRPr="00304E5D">
              <w:rPr>
                <w:sz w:val="20"/>
                <w:lang w:val="pt-BR"/>
              </w:rPr>
              <w:t>Obrigações do Estado</w:t>
            </w:r>
            <w:r w:rsidR="00F21F55" w:rsidRPr="00304E5D">
              <w:rPr>
                <w:sz w:val="20"/>
                <w:lang w:val="pt-BR"/>
              </w:rPr>
              <w:t xml:space="preserve"> </w:t>
            </w:r>
            <w:r w:rsidRPr="00304E5D">
              <w:rPr>
                <w:sz w:val="20"/>
                <w:lang w:val="pt-BR"/>
              </w:rPr>
              <w:t xml:space="preserve">de respeitar, proteger e proporcionar o </w:t>
            </w:r>
            <w:r w:rsidR="00F21F55" w:rsidRPr="00304E5D">
              <w:rPr>
                <w:sz w:val="20"/>
                <w:lang w:val="pt-BR"/>
              </w:rPr>
              <w:t xml:space="preserve">direito à </w:t>
            </w:r>
            <w:proofErr w:type="gramStart"/>
            <w:r w:rsidR="00F21F55" w:rsidRPr="00304E5D">
              <w:rPr>
                <w:sz w:val="20"/>
                <w:lang w:val="pt-BR"/>
              </w:rPr>
              <w:t>saúde</w:t>
            </w:r>
            <w:proofErr w:type="gramEnd"/>
          </w:p>
        </w:tc>
        <w:tc>
          <w:tcPr>
            <w:tcW w:w="0" w:type="auto"/>
          </w:tcPr>
          <w:p w:rsidR="00F21F55" w:rsidRPr="00304E5D" w:rsidRDefault="00F21F55" w:rsidP="00F21F55">
            <w:pPr>
              <w:spacing w:before="120"/>
              <w:rPr>
                <w:sz w:val="20"/>
                <w:lang w:val="pt-BR"/>
              </w:rPr>
            </w:pPr>
          </w:p>
        </w:tc>
        <w:tc>
          <w:tcPr>
            <w:tcW w:w="0" w:type="auto"/>
          </w:tcPr>
          <w:p w:rsidR="00F21F55" w:rsidRPr="00304E5D" w:rsidRDefault="00F21F55" w:rsidP="00802E44">
            <w:pPr>
              <w:spacing w:before="120"/>
              <w:rPr>
                <w:sz w:val="20"/>
                <w:lang w:val="pt-BR"/>
              </w:rPr>
            </w:pPr>
            <w:r w:rsidRPr="00304E5D">
              <w:rPr>
                <w:sz w:val="20"/>
                <w:lang w:val="pt-BR"/>
              </w:rPr>
              <w:t>1</w:t>
            </w:r>
            <w:r w:rsidR="00802E44" w:rsidRPr="00304E5D">
              <w:rPr>
                <w:sz w:val="20"/>
                <w:lang w:val="pt-BR"/>
              </w:rPr>
              <w:t>2</w:t>
            </w:r>
            <w:r w:rsidRPr="00304E5D">
              <w:rPr>
                <w:sz w:val="20"/>
                <w:lang w:val="pt-BR"/>
              </w:rPr>
              <w:t>–</w:t>
            </w:r>
            <w:r w:rsidR="00802E44" w:rsidRPr="00304E5D">
              <w:rPr>
                <w:sz w:val="20"/>
                <w:lang w:val="pt-BR"/>
              </w:rPr>
              <w:t>27</w:t>
            </w:r>
          </w:p>
        </w:tc>
        <w:tc>
          <w:tcPr>
            <w:tcW w:w="0" w:type="auto"/>
          </w:tcPr>
          <w:p w:rsidR="00F21F55" w:rsidRPr="00304E5D" w:rsidRDefault="00802E44" w:rsidP="00F21F55">
            <w:pPr>
              <w:spacing w:before="120"/>
              <w:rPr>
                <w:sz w:val="20"/>
                <w:lang w:val="pt-BR"/>
              </w:rPr>
            </w:pPr>
            <w:proofErr w:type="gramStart"/>
            <w:r w:rsidRPr="00304E5D">
              <w:rPr>
                <w:sz w:val="20"/>
                <w:lang w:val="pt-BR"/>
              </w:rPr>
              <w:t>7</w:t>
            </w:r>
            <w:proofErr w:type="gramEnd"/>
          </w:p>
        </w:tc>
      </w:tr>
      <w:tr w:rsidR="00802E44" w:rsidRPr="00304E5D" w:rsidTr="00304E5D">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A. Informação e </w:t>
            </w:r>
            <w:proofErr w:type="gramStart"/>
            <w:r w:rsidRPr="00304E5D">
              <w:rPr>
                <w:sz w:val="20"/>
                <w:lang w:val="pt-BR"/>
              </w:rPr>
              <w:t>conscientização</w:t>
            </w:r>
            <w:proofErr w:type="gramEnd"/>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17–18 </w:t>
            </w:r>
          </w:p>
        </w:tc>
        <w:tc>
          <w:tcPr>
            <w:tcW w:w="0" w:type="auto"/>
          </w:tcPr>
          <w:p w:rsidR="00802E44" w:rsidRPr="00304E5D" w:rsidRDefault="00802E44" w:rsidP="00F21F55">
            <w:pPr>
              <w:spacing w:before="120"/>
              <w:rPr>
                <w:sz w:val="20"/>
                <w:lang w:val="pt-BR"/>
              </w:rPr>
            </w:pPr>
            <w:proofErr w:type="gramStart"/>
            <w:r w:rsidRPr="00304E5D">
              <w:rPr>
                <w:sz w:val="20"/>
                <w:lang w:val="pt-BR"/>
              </w:rPr>
              <w:t>8</w:t>
            </w:r>
            <w:proofErr w:type="gramEnd"/>
          </w:p>
        </w:tc>
      </w:tr>
      <w:tr w:rsidR="00802E44" w:rsidRPr="00304E5D" w:rsidTr="00304E5D">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B. Políticas fiscais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19–21 </w:t>
            </w:r>
          </w:p>
        </w:tc>
        <w:tc>
          <w:tcPr>
            <w:tcW w:w="0" w:type="auto"/>
          </w:tcPr>
          <w:p w:rsidR="00802E44" w:rsidRPr="00304E5D" w:rsidRDefault="00802E44" w:rsidP="00F21F55">
            <w:pPr>
              <w:spacing w:before="120"/>
              <w:rPr>
                <w:sz w:val="20"/>
                <w:lang w:val="pt-BR"/>
              </w:rPr>
            </w:pPr>
            <w:proofErr w:type="gramStart"/>
            <w:r w:rsidRPr="00304E5D">
              <w:rPr>
                <w:sz w:val="20"/>
                <w:lang w:val="pt-BR"/>
              </w:rPr>
              <w:t>9</w:t>
            </w:r>
            <w:proofErr w:type="gramEnd"/>
          </w:p>
        </w:tc>
      </w:tr>
      <w:tr w:rsidR="00802E44" w:rsidRPr="00304E5D" w:rsidTr="00304E5D">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C. Políticas sobre </w:t>
            </w:r>
            <w:r w:rsidR="00BC3868" w:rsidRPr="00304E5D">
              <w:rPr>
                <w:sz w:val="20"/>
                <w:lang w:val="pt-BR"/>
              </w:rPr>
              <w:t>a publicidade</w:t>
            </w:r>
            <w:r w:rsidRPr="00304E5D">
              <w:rPr>
                <w:sz w:val="20"/>
                <w:lang w:val="pt-BR"/>
              </w:rPr>
              <w:t xml:space="preserve"> e promoção de alimentos pouco </w:t>
            </w:r>
            <w:proofErr w:type="gramStart"/>
            <w:r w:rsidRPr="00304E5D">
              <w:rPr>
                <w:sz w:val="20"/>
                <w:lang w:val="pt-BR"/>
              </w:rPr>
              <w:t>saudáveis</w:t>
            </w:r>
            <w:proofErr w:type="gramEnd"/>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22–25 </w:t>
            </w:r>
          </w:p>
        </w:tc>
        <w:tc>
          <w:tcPr>
            <w:tcW w:w="0" w:type="auto"/>
          </w:tcPr>
          <w:p w:rsidR="00802E44" w:rsidRPr="00304E5D" w:rsidRDefault="00802E44" w:rsidP="00F21F55">
            <w:pPr>
              <w:spacing w:before="120"/>
              <w:rPr>
                <w:sz w:val="20"/>
                <w:lang w:val="pt-BR"/>
              </w:rPr>
            </w:pPr>
            <w:r w:rsidRPr="00304E5D">
              <w:rPr>
                <w:sz w:val="20"/>
                <w:lang w:val="pt-BR"/>
              </w:rPr>
              <w:t>10</w:t>
            </w:r>
          </w:p>
        </w:tc>
      </w:tr>
      <w:tr w:rsidR="00802E44" w:rsidRPr="00304E5D" w:rsidTr="00304E5D">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D. Políticas sobre investimentos estrangeiros diretos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26–27 </w:t>
            </w:r>
          </w:p>
        </w:tc>
        <w:tc>
          <w:tcPr>
            <w:tcW w:w="0" w:type="auto"/>
          </w:tcPr>
          <w:p w:rsidR="00802E44" w:rsidRPr="00304E5D" w:rsidRDefault="00802E44" w:rsidP="00F21F55">
            <w:pPr>
              <w:spacing w:before="120"/>
              <w:rPr>
                <w:sz w:val="20"/>
                <w:lang w:val="pt-BR"/>
              </w:rPr>
            </w:pPr>
            <w:r w:rsidRPr="00304E5D">
              <w:rPr>
                <w:sz w:val="20"/>
                <w:lang w:val="pt-BR"/>
              </w:rPr>
              <w:t>11</w:t>
            </w:r>
          </w:p>
        </w:tc>
      </w:tr>
      <w:tr w:rsidR="00802E44" w:rsidRPr="00304E5D" w:rsidTr="00304E5D">
        <w:tc>
          <w:tcPr>
            <w:tcW w:w="0" w:type="auto"/>
          </w:tcPr>
          <w:p w:rsidR="00802E44" w:rsidRPr="00304E5D" w:rsidRDefault="00802E44" w:rsidP="00F21F55">
            <w:pPr>
              <w:spacing w:before="120"/>
              <w:rPr>
                <w:sz w:val="20"/>
                <w:lang w:val="pt-BR"/>
              </w:rPr>
            </w:pPr>
            <w:r w:rsidRPr="00304E5D">
              <w:rPr>
                <w:sz w:val="20"/>
                <w:lang w:val="pt-BR"/>
              </w:rPr>
              <w:t>V.</w:t>
            </w:r>
          </w:p>
        </w:tc>
        <w:tc>
          <w:tcPr>
            <w:tcW w:w="0" w:type="auto"/>
          </w:tcPr>
          <w:p w:rsidR="00802E44" w:rsidRPr="00304E5D" w:rsidRDefault="00802E44" w:rsidP="00802E44">
            <w:pPr>
              <w:spacing w:before="120"/>
              <w:rPr>
                <w:sz w:val="20"/>
                <w:lang w:val="pt-BR"/>
              </w:rPr>
            </w:pPr>
            <w:r w:rsidRPr="00304E5D">
              <w:rPr>
                <w:sz w:val="20"/>
                <w:lang w:val="pt-BR"/>
              </w:rPr>
              <w:t>Responsabilidades da indústria de alimentos e bebidas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28–32 </w:t>
            </w:r>
          </w:p>
        </w:tc>
        <w:tc>
          <w:tcPr>
            <w:tcW w:w="0" w:type="auto"/>
          </w:tcPr>
          <w:p w:rsidR="00802E44" w:rsidRPr="00304E5D" w:rsidRDefault="00802E44" w:rsidP="00F21F55">
            <w:pPr>
              <w:spacing w:before="120"/>
              <w:rPr>
                <w:sz w:val="20"/>
                <w:lang w:val="pt-BR"/>
              </w:rPr>
            </w:pPr>
            <w:r w:rsidRPr="00304E5D">
              <w:rPr>
                <w:sz w:val="20"/>
                <w:lang w:val="pt-BR"/>
              </w:rPr>
              <w:t>11</w:t>
            </w:r>
          </w:p>
        </w:tc>
      </w:tr>
      <w:tr w:rsidR="00802E44" w:rsidRPr="00304E5D" w:rsidTr="00304E5D">
        <w:tc>
          <w:tcPr>
            <w:tcW w:w="0" w:type="auto"/>
          </w:tcPr>
          <w:p w:rsidR="00802E44" w:rsidRPr="00304E5D" w:rsidRDefault="00802E44" w:rsidP="00802E44">
            <w:pPr>
              <w:spacing w:before="120"/>
              <w:rPr>
                <w:sz w:val="20"/>
                <w:lang w:val="pt-BR"/>
              </w:rPr>
            </w:pPr>
            <w:r w:rsidRPr="00304E5D">
              <w:rPr>
                <w:sz w:val="20"/>
                <w:lang w:val="pt-BR"/>
              </w:rPr>
              <w:t>VI.</w:t>
            </w:r>
          </w:p>
        </w:tc>
        <w:tc>
          <w:tcPr>
            <w:tcW w:w="0" w:type="auto"/>
          </w:tcPr>
          <w:p w:rsidR="00802E44" w:rsidRPr="00304E5D" w:rsidRDefault="00802E44" w:rsidP="00BC3868">
            <w:pPr>
              <w:spacing w:before="120"/>
              <w:rPr>
                <w:sz w:val="20"/>
                <w:lang w:val="pt-BR"/>
              </w:rPr>
            </w:pPr>
            <w:r w:rsidRPr="00304E5D">
              <w:rPr>
                <w:sz w:val="20"/>
                <w:lang w:val="pt-BR"/>
              </w:rPr>
              <w:t>Grupos vulneráveis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33–46 </w:t>
            </w:r>
          </w:p>
        </w:tc>
        <w:tc>
          <w:tcPr>
            <w:tcW w:w="0" w:type="auto"/>
          </w:tcPr>
          <w:p w:rsidR="00802E44" w:rsidRPr="00304E5D" w:rsidRDefault="00802E44" w:rsidP="00F21F55">
            <w:pPr>
              <w:spacing w:before="120"/>
              <w:rPr>
                <w:sz w:val="20"/>
                <w:lang w:val="pt-BR"/>
              </w:rPr>
            </w:pPr>
            <w:r w:rsidRPr="00304E5D">
              <w:rPr>
                <w:sz w:val="20"/>
                <w:lang w:val="pt-BR"/>
              </w:rPr>
              <w:t>13</w:t>
            </w:r>
          </w:p>
        </w:tc>
      </w:tr>
      <w:tr w:rsidR="00802E44" w:rsidRPr="00304E5D" w:rsidTr="00304E5D">
        <w:tc>
          <w:tcPr>
            <w:tcW w:w="0" w:type="auto"/>
          </w:tcPr>
          <w:p w:rsidR="00802E44" w:rsidRPr="00304E5D" w:rsidRDefault="00802E44" w:rsidP="00802E44">
            <w:pPr>
              <w:spacing w:before="120"/>
              <w:rPr>
                <w:sz w:val="20"/>
                <w:lang w:val="pt-BR"/>
              </w:rPr>
            </w:pPr>
          </w:p>
        </w:tc>
        <w:tc>
          <w:tcPr>
            <w:tcW w:w="0" w:type="auto"/>
          </w:tcPr>
          <w:p w:rsidR="00802E44" w:rsidRPr="00304E5D" w:rsidRDefault="00802E44" w:rsidP="00F21F55">
            <w:pPr>
              <w:spacing w:before="120"/>
              <w:rPr>
                <w:sz w:val="20"/>
                <w:lang w:val="pt-BR"/>
              </w:rPr>
            </w:pPr>
            <w:r w:rsidRPr="00304E5D">
              <w:rPr>
                <w:sz w:val="20"/>
                <w:lang w:val="pt-BR"/>
              </w:rPr>
              <w:t>A. Crianças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34–38 </w:t>
            </w:r>
          </w:p>
        </w:tc>
        <w:tc>
          <w:tcPr>
            <w:tcW w:w="0" w:type="auto"/>
          </w:tcPr>
          <w:p w:rsidR="00802E44" w:rsidRPr="00304E5D" w:rsidRDefault="00802E44" w:rsidP="00F21F55">
            <w:pPr>
              <w:spacing w:before="120"/>
              <w:rPr>
                <w:sz w:val="20"/>
                <w:lang w:val="pt-BR"/>
              </w:rPr>
            </w:pPr>
            <w:r w:rsidRPr="00304E5D">
              <w:rPr>
                <w:sz w:val="20"/>
                <w:lang w:val="pt-BR"/>
              </w:rPr>
              <w:t>13</w:t>
            </w:r>
          </w:p>
        </w:tc>
      </w:tr>
      <w:tr w:rsidR="00802E44" w:rsidRPr="00304E5D" w:rsidTr="00304E5D">
        <w:tc>
          <w:tcPr>
            <w:tcW w:w="0" w:type="auto"/>
          </w:tcPr>
          <w:p w:rsidR="00802E44" w:rsidRPr="00304E5D" w:rsidRDefault="00802E44" w:rsidP="00802E44">
            <w:pPr>
              <w:spacing w:before="120"/>
              <w:rPr>
                <w:sz w:val="20"/>
                <w:lang w:val="pt-BR"/>
              </w:rPr>
            </w:pPr>
          </w:p>
        </w:tc>
        <w:tc>
          <w:tcPr>
            <w:tcW w:w="0" w:type="auto"/>
          </w:tcPr>
          <w:p w:rsidR="00802E44" w:rsidRPr="00304E5D" w:rsidRDefault="00802E44" w:rsidP="00F21F55">
            <w:pPr>
              <w:spacing w:before="120"/>
              <w:rPr>
                <w:sz w:val="20"/>
                <w:lang w:val="pt-BR"/>
              </w:rPr>
            </w:pPr>
            <w:r w:rsidRPr="00304E5D">
              <w:rPr>
                <w:sz w:val="20"/>
                <w:lang w:val="pt-BR"/>
              </w:rPr>
              <w:t>B. Mulheres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39–41 </w:t>
            </w:r>
          </w:p>
        </w:tc>
        <w:tc>
          <w:tcPr>
            <w:tcW w:w="0" w:type="auto"/>
          </w:tcPr>
          <w:p w:rsidR="00802E44" w:rsidRPr="00304E5D" w:rsidRDefault="00802E44" w:rsidP="00F21F55">
            <w:pPr>
              <w:spacing w:before="120"/>
              <w:rPr>
                <w:sz w:val="20"/>
                <w:lang w:val="pt-BR"/>
              </w:rPr>
            </w:pPr>
            <w:r w:rsidRPr="00304E5D">
              <w:rPr>
                <w:sz w:val="20"/>
                <w:lang w:val="pt-BR"/>
              </w:rPr>
              <w:t>15</w:t>
            </w:r>
          </w:p>
        </w:tc>
      </w:tr>
      <w:tr w:rsidR="00802E44" w:rsidRPr="00304E5D" w:rsidTr="00304E5D">
        <w:tc>
          <w:tcPr>
            <w:tcW w:w="0" w:type="auto"/>
          </w:tcPr>
          <w:p w:rsidR="00802E44" w:rsidRPr="00304E5D" w:rsidRDefault="00802E44" w:rsidP="00802E44">
            <w:pPr>
              <w:spacing w:before="120"/>
              <w:rPr>
                <w:sz w:val="20"/>
                <w:lang w:val="pt-BR"/>
              </w:rPr>
            </w:pPr>
          </w:p>
        </w:tc>
        <w:tc>
          <w:tcPr>
            <w:tcW w:w="0" w:type="auto"/>
          </w:tcPr>
          <w:p w:rsidR="00802E44" w:rsidRPr="00304E5D" w:rsidRDefault="00802E44" w:rsidP="00F21F55">
            <w:pPr>
              <w:spacing w:before="120"/>
              <w:rPr>
                <w:sz w:val="20"/>
                <w:lang w:val="pt-BR"/>
              </w:rPr>
            </w:pPr>
            <w:r w:rsidRPr="00304E5D">
              <w:rPr>
                <w:sz w:val="20"/>
                <w:lang w:val="pt-BR"/>
              </w:rPr>
              <w:t xml:space="preserve">C. Grupos de baixa </w:t>
            </w:r>
            <w:proofErr w:type="gramStart"/>
            <w:r w:rsidRPr="00304E5D">
              <w:rPr>
                <w:sz w:val="20"/>
                <w:lang w:val="pt-BR"/>
              </w:rPr>
              <w:t>renda</w:t>
            </w:r>
            <w:proofErr w:type="gramEnd"/>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42–46 </w:t>
            </w:r>
          </w:p>
        </w:tc>
        <w:tc>
          <w:tcPr>
            <w:tcW w:w="0" w:type="auto"/>
          </w:tcPr>
          <w:p w:rsidR="00802E44" w:rsidRPr="00304E5D" w:rsidRDefault="00802E44" w:rsidP="00F21F55">
            <w:pPr>
              <w:spacing w:before="120"/>
              <w:rPr>
                <w:sz w:val="20"/>
                <w:lang w:val="pt-BR"/>
              </w:rPr>
            </w:pPr>
            <w:r w:rsidRPr="00304E5D">
              <w:rPr>
                <w:sz w:val="20"/>
                <w:lang w:val="pt-BR"/>
              </w:rPr>
              <w:t>15</w:t>
            </w:r>
          </w:p>
        </w:tc>
      </w:tr>
      <w:tr w:rsidR="00802E44" w:rsidRPr="00304E5D" w:rsidTr="00304E5D">
        <w:tc>
          <w:tcPr>
            <w:tcW w:w="0" w:type="auto"/>
          </w:tcPr>
          <w:p w:rsidR="00802E44" w:rsidRPr="00304E5D" w:rsidRDefault="00802E44" w:rsidP="00802E44">
            <w:pPr>
              <w:spacing w:before="120"/>
              <w:rPr>
                <w:sz w:val="20"/>
                <w:lang w:val="pt-BR"/>
              </w:rPr>
            </w:pPr>
            <w:r w:rsidRPr="00304E5D">
              <w:rPr>
                <w:sz w:val="20"/>
                <w:lang w:val="pt-BR"/>
              </w:rPr>
              <w:t>VII.</w:t>
            </w:r>
          </w:p>
        </w:tc>
        <w:tc>
          <w:tcPr>
            <w:tcW w:w="0" w:type="auto"/>
          </w:tcPr>
          <w:p w:rsidR="00802E44" w:rsidRPr="00304E5D" w:rsidRDefault="00802E44" w:rsidP="00F21F55">
            <w:pPr>
              <w:spacing w:before="120"/>
              <w:rPr>
                <w:sz w:val="20"/>
                <w:lang w:val="pt-BR"/>
              </w:rPr>
            </w:pPr>
            <w:r w:rsidRPr="00304E5D">
              <w:rPr>
                <w:sz w:val="20"/>
                <w:lang w:val="pt-BR"/>
              </w:rPr>
              <w:t>Participação</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47–49 </w:t>
            </w:r>
          </w:p>
        </w:tc>
        <w:tc>
          <w:tcPr>
            <w:tcW w:w="0" w:type="auto"/>
          </w:tcPr>
          <w:p w:rsidR="00802E44" w:rsidRPr="00304E5D" w:rsidRDefault="00802E44" w:rsidP="00F21F55">
            <w:pPr>
              <w:spacing w:before="120"/>
              <w:rPr>
                <w:sz w:val="20"/>
                <w:lang w:val="pt-BR"/>
              </w:rPr>
            </w:pPr>
            <w:r w:rsidRPr="00304E5D">
              <w:rPr>
                <w:sz w:val="20"/>
                <w:lang w:val="pt-BR"/>
              </w:rPr>
              <w:t>16</w:t>
            </w:r>
          </w:p>
        </w:tc>
      </w:tr>
      <w:tr w:rsidR="00802E44" w:rsidRPr="00304E5D" w:rsidTr="00304E5D">
        <w:tc>
          <w:tcPr>
            <w:tcW w:w="0" w:type="auto"/>
          </w:tcPr>
          <w:p w:rsidR="00802E44" w:rsidRPr="00304E5D" w:rsidRDefault="00802E44" w:rsidP="00802E44">
            <w:pPr>
              <w:spacing w:before="120"/>
              <w:rPr>
                <w:sz w:val="20"/>
                <w:lang w:val="pt-BR"/>
              </w:rPr>
            </w:pPr>
            <w:r w:rsidRPr="00304E5D">
              <w:rPr>
                <w:sz w:val="20"/>
                <w:lang w:val="pt-BR"/>
              </w:rPr>
              <w:t xml:space="preserve">VIII. </w:t>
            </w:r>
          </w:p>
        </w:tc>
        <w:tc>
          <w:tcPr>
            <w:tcW w:w="0" w:type="auto"/>
          </w:tcPr>
          <w:p w:rsidR="00802E44" w:rsidRPr="00304E5D" w:rsidRDefault="005A25F5" w:rsidP="00F21F55">
            <w:pPr>
              <w:spacing w:before="120"/>
              <w:rPr>
                <w:sz w:val="20"/>
                <w:lang w:val="pt-BR"/>
              </w:rPr>
            </w:pPr>
            <w:r w:rsidRPr="00304E5D">
              <w:rPr>
                <w:sz w:val="20"/>
                <w:lang w:val="pt-BR"/>
              </w:rPr>
              <w:t>Responsabilização</w:t>
            </w:r>
            <w:r w:rsidR="00802E44" w:rsidRPr="00304E5D">
              <w:rPr>
                <w:sz w:val="20"/>
                <w:lang w:val="pt-BR"/>
              </w:rPr>
              <w:t xml:space="preserve"> e </w:t>
            </w:r>
            <w:r w:rsidRPr="00304E5D">
              <w:rPr>
                <w:sz w:val="20"/>
                <w:lang w:val="pt-BR"/>
              </w:rPr>
              <w:t>recursos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50–55 </w:t>
            </w:r>
          </w:p>
        </w:tc>
        <w:tc>
          <w:tcPr>
            <w:tcW w:w="0" w:type="auto"/>
          </w:tcPr>
          <w:p w:rsidR="00802E44" w:rsidRPr="00304E5D" w:rsidRDefault="00802E44" w:rsidP="00F21F55">
            <w:pPr>
              <w:spacing w:before="120"/>
              <w:rPr>
                <w:sz w:val="20"/>
                <w:lang w:val="pt-BR"/>
              </w:rPr>
            </w:pPr>
            <w:r w:rsidRPr="00304E5D">
              <w:rPr>
                <w:sz w:val="20"/>
                <w:lang w:val="pt-BR"/>
              </w:rPr>
              <w:t>17</w:t>
            </w:r>
          </w:p>
        </w:tc>
      </w:tr>
      <w:tr w:rsidR="00802E44" w:rsidRPr="00304E5D" w:rsidTr="00304E5D">
        <w:tc>
          <w:tcPr>
            <w:tcW w:w="0" w:type="auto"/>
          </w:tcPr>
          <w:p w:rsidR="00802E44" w:rsidRPr="00304E5D" w:rsidRDefault="00802E44" w:rsidP="00802E44">
            <w:pPr>
              <w:spacing w:before="120"/>
              <w:rPr>
                <w:sz w:val="20"/>
                <w:lang w:val="pt-BR"/>
              </w:rPr>
            </w:pPr>
            <w:r w:rsidRPr="00304E5D">
              <w:rPr>
                <w:sz w:val="20"/>
                <w:lang w:val="pt-BR"/>
              </w:rPr>
              <w:t>IX.</w:t>
            </w:r>
          </w:p>
        </w:tc>
        <w:tc>
          <w:tcPr>
            <w:tcW w:w="0" w:type="auto"/>
          </w:tcPr>
          <w:p w:rsidR="00802E44" w:rsidRPr="00304E5D" w:rsidRDefault="005A25F5" w:rsidP="005A25F5">
            <w:pPr>
              <w:spacing w:before="120"/>
              <w:rPr>
                <w:sz w:val="20"/>
                <w:lang w:val="pt-BR"/>
              </w:rPr>
            </w:pPr>
            <w:r w:rsidRPr="00304E5D">
              <w:rPr>
                <w:sz w:val="20"/>
                <w:lang w:val="pt-BR"/>
              </w:rPr>
              <w:t>A</w:t>
            </w:r>
            <w:r w:rsidR="00802E44" w:rsidRPr="00304E5D">
              <w:rPr>
                <w:sz w:val="20"/>
                <w:lang w:val="pt-BR"/>
              </w:rPr>
              <w:t>ssistência</w:t>
            </w:r>
            <w:r w:rsidRPr="00304E5D">
              <w:rPr>
                <w:sz w:val="20"/>
                <w:lang w:val="pt-BR"/>
              </w:rPr>
              <w:t xml:space="preserve"> </w:t>
            </w:r>
            <w:r w:rsidR="00802E44" w:rsidRPr="00304E5D">
              <w:rPr>
                <w:sz w:val="20"/>
                <w:lang w:val="pt-BR"/>
              </w:rPr>
              <w:t>e cooperação</w:t>
            </w:r>
            <w:r w:rsidRPr="00304E5D">
              <w:rPr>
                <w:sz w:val="20"/>
                <w:lang w:val="pt-BR"/>
              </w:rPr>
              <w:t xml:space="preserve"> internacional</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56–62 </w:t>
            </w:r>
          </w:p>
        </w:tc>
        <w:tc>
          <w:tcPr>
            <w:tcW w:w="0" w:type="auto"/>
          </w:tcPr>
          <w:p w:rsidR="00802E44" w:rsidRPr="00304E5D" w:rsidRDefault="00802E44" w:rsidP="00F21F55">
            <w:pPr>
              <w:spacing w:before="120"/>
              <w:rPr>
                <w:sz w:val="20"/>
                <w:lang w:val="pt-BR"/>
              </w:rPr>
            </w:pPr>
            <w:r w:rsidRPr="00304E5D">
              <w:rPr>
                <w:sz w:val="20"/>
                <w:lang w:val="pt-BR"/>
              </w:rPr>
              <w:t>19</w:t>
            </w:r>
          </w:p>
        </w:tc>
      </w:tr>
      <w:tr w:rsidR="00802E44" w:rsidRPr="00304E5D" w:rsidTr="00304E5D">
        <w:tc>
          <w:tcPr>
            <w:tcW w:w="0" w:type="auto"/>
          </w:tcPr>
          <w:p w:rsidR="00802E44" w:rsidRPr="00304E5D" w:rsidRDefault="00802E44" w:rsidP="00802E44">
            <w:pPr>
              <w:spacing w:before="120"/>
              <w:rPr>
                <w:sz w:val="20"/>
                <w:lang w:val="pt-BR"/>
              </w:rPr>
            </w:pPr>
            <w:r w:rsidRPr="00304E5D">
              <w:rPr>
                <w:sz w:val="20"/>
                <w:lang w:val="pt-BR"/>
              </w:rPr>
              <w:t>X.</w:t>
            </w:r>
          </w:p>
        </w:tc>
        <w:tc>
          <w:tcPr>
            <w:tcW w:w="0" w:type="auto"/>
          </w:tcPr>
          <w:p w:rsidR="00802E44" w:rsidRPr="00304E5D" w:rsidRDefault="005A25F5" w:rsidP="00F21F55">
            <w:pPr>
              <w:spacing w:before="120"/>
              <w:rPr>
                <w:sz w:val="20"/>
                <w:lang w:val="pt-BR"/>
              </w:rPr>
            </w:pPr>
            <w:r w:rsidRPr="00304E5D">
              <w:rPr>
                <w:sz w:val="20"/>
                <w:lang w:val="pt-BR"/>
              </w:rPr>
              <w:t>Conclusão</w:t>
            </w:r>
            <w:r w:rsidR="00802E44" w:rsidRPr="00304E5D">
              <w:rPr>
                <w:sz w:val="20"/>
                <w:lang w:val="pt-BR"/>
              </w:rPr>
              <w:t xml:space="preserve"> e recomendações</w:t>
            </w:r>
          </w:p>
        </w:tc>
        <w:tc>
          <w:tcPr>
            <w:tcW w:w="0" w:type="auto"/>
          </w:tcPr>
          <w:p w:rsidR="00802E44" w:rsidRPr="00304E5D" w:rsidRDefault="00802E44" w:rsidP="00F21F55">
            <w:pPr>
              <w:spacing w:before="120"/>
              <w:rPr>
                <w:sz w:val="20"/>
                <w:lang w:val="pt-BR"/>
              </w:rPr>
            </w:pPr>
          </w:p>
        </w:tc>
        <w:tc>
          <w:tcPr>
            <w:tcW w:w="0" w:type="auto"/>
          </w:tcPr>
          <w:p w:rsidR="00802E44" w:rsidRPr="00304E5D" w:rsidRDefault="00802E44" w:rsidP="00802E44">
            <w:pPr>
              <w:spacing w:before="120"/>
              <w:rPr>
                <w:sz w:val="20"/>
                <w:lang w:val="pt-BR"/>
              </w:rPr>
            </w:pPr>
            <w:r w:rsidRPr="00304E5D">
              <w:rPr>
                <w:sz w:val="20"/>
                <w:lang w:val="pt-BR"/>
              </w:rPr>
              <w:t xml:space="preserve">63–68 </w:t>
            </w:r>
          </w:p>
        </w:tc>
        <w:tc>
          <w:tcPr>
            <w:tcW w:w="0" w:type="auto"/>
          </w:tcPr>
          <w:p w:rsidR="00802E44" w:rsidRPr="00304E5D" w:rsidRDefault="00802E44" w:rsidP="00F21F55">
            <w:pPr>
              <w:spacing w:before="120"/>
              <w:rPr>
                <w:sz w:val="20"/>
                <w:lang w:val="pt-BR"/>
              </w:rPr>
            </w:pPr>
            <w:r w:rsidRPr="00304E5D">
              <w:rPr>
                <w:sz w:val="20"/>
                <w:lang w:val="pt-BR"/>
              </w:rPr>
              <w:t>21</w:t>
            </w:r>
          </w:p>
        </w:tc>
      </w:tr>
    </w:tbl>
    <w:p w:rsidR="00115B91" w:rsidRPr="002F4565" w:rsidRDefault="00115B91" w:rsidP="0051636A">
      <w:pPr>
        <w:spacing w:before="120" w:after="0" w:line="240" w:lineRule="auto"/>
        <w:rPr>
          <w:lang w:val="pt-BR"/>
        </w:rPr>
      </w:pPr>
    </w:p>
    <w:p w:rsidR="00115B91" w:rsidRPr="002F4565" w:rsidRDefault="00115B91" w:rsidP="0051636A">
      <w:pPr>
        <w:spacing w:before="120" w:after="0" w:line="240" w:lineRule="auto"/>
        <w:rPr>
          <w:lang w:val="pt-BR"/>
        </w:rPr>
      </w:pPr>
      <w:r w:rsidRPr="002F4565">
        <w:rPr>
          <w:lang w:val="pt-BR"/>
        </w:rPr>
        <w:br w:type="page"/>
      </w:r>
    </w:p>
    <w:p w:rsidR="00115B91" w:rsidRPr="002F4565" w:rsidRDefault="00115B91" w:rsidP="0051636A">
      <w:pPr>
        <w:spacing w:before="120" w:after="0" w:line="240" w:lineRule="auto"/>
        <w:rPr>
          <w:lang w:val="pt-BR"/>
        </w:rPr>
      </w:pPr>
      <w:r w:rsidRPr="002F4565">
        <w:rPr>
          <w:lang w:val="pt-BR"/>
        </w:rPr>
        <w:lastRenderedPageBreak/>
        <w:t xml:space="preserve">I. </w:t>
      </w:r>
      <w:r w:rsidR="00802E44" w:rsidRPr="002F4565">
        <w:rPr>
          <w:lang w:val="pt-BR"/>
        </w:rPr>
        <w:t>Introdução</w:t>
      </w:r>
    </w:p>
    <w:p w:rsidR="005A25F5" w:rsidRPr="002F4565" w:rsidRDefault="00115B91" w:rsidP="0051636A">
      <w:pPr>
        <w:spacing w:before="120" w:after="0" w:line="240" w:lineRule="auto"/>
        <w:rPr>
          <w:lang w:val="pt-BR"/>
        </w:rPr>
      </w:pPr>
      <w:r w:rsidRPr="002F4565">
        <w:rPr>
          <w:lang w:val="pt-BR"/>
        </w:rPr>
        <w:t xml:space="preserve">1. </w:t>
      </w:r>
      <w:r w:rsidR="0049090C" w:rsidRPr="002F4565">
        <w:rPr>
          <w:lang w:val="pt-BR"/>
        </w:rPr>
        <w:t>O</w:t>
      </w:r>
      <w:r w:rsidRPr="002F4565">
        <w:rPr>
          <w:lang w:val="pt-BR"/>
        </w:rPr>
        <w:t xml:space="preserve"> </w:t>
      </w:r>
      <w:r w:rsidR="00BC3868" w:rsidRPr="002F4565">
        <w:rPr>
          <w:lang w:val="pt-BR"/>
        </w:rPr>
        <w:t xml:space="preserve">escopo do </w:t>
      </w:r>
      <w:r w:rsidR="00F21F55" w:rsidRPr="002F4565">
        <w:rPr>
          <w:lang w:val="pt-BR"/>
        </w:rPr>
        <w:t>direito à saúde</w:t>
      </w:r>
      <w:r w:rsidRPr="002F4565">
        <w:rPr>
          <w:lang w:val="pt-BR"/>
        </w:rPr>
        <w:t xml:space="preserve"> </w:t>
      </w:r>
      <w:r w:rsidR="005A25F5" w:rsidRPr="002F4565">
        <w:rPr>
          <w:lang w:val="pt-BR"/>
        </w:rPr>
        <w:t xml:space="preserve">inclui não apenas os </w:t>
      </w:r>
      <w:r w:rsidR="00BC3868" w:rsidRPr="002F4565">
        <w:rPr>
          <w:lang w:val="pt-BR"/>
        </w:rPr>
        <w:t xml:space="preserve">fatores </w:t>
      </w:r>
      <w:r w:rsidRPr="002F4565">
        <w:rPr>
          <w:lang w:val="pt-BR"/>
        </w:rPr>
        <w:t>determinant</w:t>
      </w:r>
      <w:r w:rsidR="005A25F5" w:rsidRPr="002F4565">
        <w:rPr>
          <w:lang w:val="pt-BR"/>
        </w:rPr>
        <w:t xml:space="preserve">es subjacentes </w:t>
      </w:r>
      <w:r w:rsidR="00BC3868" w:rsidRPr="002F4565">
        <w:rPr>
          <w:lang w:val="pt-BR"/>
        </w:rPr>
        <w:t>à</w:t>
      </w:r>
      <w:r w:rsidR="005A25F5" w:rsidRPr="002F4565">
        <w:rPr>
          <w:lang w:val="pt-BR"/>
        </w:rPr>
        <w:t xml:space="preserve"> </w:t>
      </w:r>
      <w:r w:rsidR="0049090C" w:rsidRPr="002F4565">
        <w:rPr>
          <w:lang w:val="pt-BR"/>
        </w:rPr>
        <w:t>saúde</w:t>
      </w:r>
      <w:r w:rsidRPr="002F4565">
        <w:rPr>
          <w:lang w:val="pt-BR"/>
        </w:rPr>
        <w:t xml:space="preserve"> </w:t>
      </w:r>
      <w:r w:rsidR="005A25F5" w:rsidRPr="002F4565">
        <w:rPr>
          <w:lang w:val="pt-BR"/>
        </w:rPr>
        <w:t xml:space="preserve">como o </w:t>
      </w:r>
      <w:r w:rsidR="00BC3868" w:rsidRPr="002F4565">
        <w:rPr>
          <w:lang w:val="pt-BR"/>
        </w:rPr>
        <w:t xml:space="preserve">abastecimento </w:t>
      </w:r>
      <w:r w:rsidR="0049090C" w:rsidRPr="002F4565">
        <w:rPr>
          <w:lang w:val="pt-BR"/>
        </w:rPr>
        <w:t>adequado</w:t>
      </w:r>
      <w:r w:rsidRPr="002F4565">
        <w:rPr>
          <w:lang w:val="pt-BR"/>
        </w:rPr>
        <w:t xml:space="preserve"> </w:t>
      </w:r>
      <w:r w:rsidR="0049090C" w:rsidRPr="002F4565">
        <w:rPr>
          <w:lang w:val="pt-BR"/>
        </w:rPr>
        <w:t>de</w:t>
      </w:r>
      <w:r w:rsidRPr="002F4565">
        <w:rPr>
          <w:lang w:val="pt-BR"/>
        </w:rPr>
        <w:t xml:space="preserve"> </w:t>
      </w:r>
      <w:r w:rsidR="005A25F5" w:rsidRPr="002F4565">
        <w:rPr>
          <w:lang w:val="pt-BR"/>
        </w:rPr>
        <w:t>alimentos seguros</w:t>
      </w:r>
      <w:r w:rsidRPr="002F4565">
        <w:rPr>
          <w:lang w:val="pt-BR"/>
        </w:rPr>
        <w:t xml:space="preserve">, </w:t>
      </w:r>
      <w:r w:rsidR="005A25F5" w:rsidRPr="002F4565">
        <w:rPr>
          <w:lang w:val="pt-BR"/>
        </w:rPr>
        <w:t xml:space="preserve">como também sua </w:t>
      </w:r>
      <w:r w:rsidR="00BC3868" w:rsidRPr="002F4565">
        <w:rPr>
          <w:lang w:val="pt-BR"/>
        </w:rPr>
        <w:t xml:space="preserve">concretização </w:t>
      </w:r>
      <w:r w:rsidR="005A25F5" w:rsidRPr="002F4565">
        <w:rPr>
          <w:lang w:val="pt-BR"/>
        </w:rPr>
        <w:t>é</w:t>
      </w:r>
      <w:r w:rsidRPr="002F4565">
        <w:rPr>
          <w:lang w:val="pt-BR"/>
        </w:rPr>
        <w:t xml:space="preserve"> inextrica</w:t>
      </w:r>
      <w:r w:rsidR="005A25F5" w:rsidRPr="002F4565">
        <w:rPr>
          <w:lang w:val="pt-BR"/>
        </w:rPr>
        <w:t xml:space="preserve">velmente vinculada ao exercício do </w:t>
      </w:r>
      <w:r w:rsidR="0049090C" w:rsidRPr="002F4565">
        <w:rPr>
          <w:lang w:val="pt-BR"/>
        </w:rPr>
        <w:t>direito</w:t>
      </w:r>
      <w:r w:rsidRPr="002F4565">
        <w:rPr>
          <w:lang w:val="pt-BR"/>
        </w:rPr>
        <w:t xml:space="preserve"> </w:t>
      </w:r>
      <w:r w:rsidR="005A25F5" w:rsidRPr="002F4565">
        <w:rPr>
          <w:lang w:val="pt-BR"/>
        </w:rPr>
        <w:t xml:space="preserve">ao </w:t>
      </w:r>
      <w:r w:rsidR="0049090C" w:rsidRPr="002F4565">
        <w:rPr>
          <w:lang w:val="pt-BR"/>
        </w:rPr>
        <w:t>alimento</w:t>
      </w:r>
      <w:r w:rsidRPr="002F4565">
        <w:rPr>
          <w:lang w:val="pt-BR"/>
        </w:rPr>
        <w:t xml:space="preserve">. </w:t>
      </w:r>
      <w:r w:rsidR="005A25F5" w:rsidRPr="002F4565">
        <w:rPr>
          <w:lang w:val="pt-BR"/>
        </w:rPr>
        <w:t>O acesso a alimentos seguros</w:t>
      </w:r>
      <w:r w:rsidRPr="002F4565">
        <w:rPr>
          <w:lang w:val="pt-BR"/>
        </w:rPr>
        <w:t xml:space="preserve"> </w:t>
      </w:r>
      <w:r w:rsidR="005A25F5" w:rsidRPr="002F4565">
        <w:rPr>
          <w:lang w:val="pt-BR"/>
        </w:rPr>
        <w:t xml:space="preserve">em termos nutricionais como determinante subjacente </w:t>
      </w:r>
      <w:r w:rsidR="0049090C" w:rsidRPr="002F4565">
        <w:rPr>
          <w:lang w:val="pt-BR"/>
        </w:rPr>
        <w:t>d</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5A25F5" w:rsidRPr="002F4565">
        <w:rPr>
          <w:lang w:val="pt-BR"/>
        </w:rPr>
        <w:t>está ligado aos conceito</w:t>
      </w:r>
      <w:r w:rsidRPr="002F4565">
        <w:rPr>
          <w:lang w:val="pt-BR"/>
        </w:rPr>
        <w:t xml:space="preserve">s </w:t>
      </w:r>
      <w:r w:rsidR="0049090C" w:rsidRPr="002F4565">
        <w:rPr>
          <w:lang w:val="pt-BR"/>
        </w:rPr>
        <w:t>d</w:t>
      </w:r>
      <w:r w:rsidR="005A25F5" w:rsidRPr="002F4565">
        <w:rPr>
          <w:lang w:val="pt-BR"/>
        </w:rPr>
        <w:t>a</w:t>
      </w:r>
      <w:r w:rsidRPr="002F4565">
        <w:rPr>
          <w:lang w:val="pt-BR"/>
        </w:rPr>
        <w:t xml:space="preserve"> </w:t>
      </w:r>
      <w:r w:rsidR="005A25F5" w:rsidRPr="002F4565">
        <w:rPr>
          <w:lang w:val="pt-BR"/>
        </w:rPr>
        <w:t>segurança</w:t>
      </w:r>
      <w:r w:rsidRPr="002F4565">
        <w:rPr>
          <w:lang w:val="pt-BR"/>
        </w:rPr>
        <w:t xml:space="preserve"> </w:t>
      </w:r>
      <w:r w:rsidR="005A25F5" w:rsidRPr="002F4565">
        <w:rPr>
          <w:lang w:val="pt-BR"/>
        </w:rPr>
        <w:t xml:space="preserve">alimentar </w:t>
      </w:r>
      <w:r w:rsidR="0049090C" w:rsidRPr="002F4565">
        <w:rPr>
          <w:lang w:val="pt-BR"/>
        </w:rPr>
        <w:t>e</w:t>
      </w:r>
      <w:r w:rsidRPr="002F4565">
        <w:rPr>
          <w:lang w:val="pt-BR"/>
        </w:rPr>
        <w:t xml:space="preserve"> </w:t>
      </w:r>
      <w:r w:rsidR="005A25F5" w:rsidRPr="002F4565">
        <w:rPr>
          <w:lang w:val="pt-BR"/>
        </w:rPr>
        <w:t>segurança nutricional</w:t>
      </w:r>
      <w:r w:rsidRPr="002F4565">
        <w:rPr>
          <w:lang w:val="pt-BR"/>
        </w:rPr>
        <w:t xml:space="preserve">. </w:t>
      </w:r>
      <w:r w:rsidR="005A25F5" w:rsidRPr="002F4565">
        <w:rPr>
          <w:lang w:val="pt-BR"/>
        </w:rPr>
        <w:t>A segurança</w:t>
      </w:r>
      <w:r w:rsidRPr="002F4565">
        <w:rPr>
          <w:lang w:val="pt-BR"/>
        </w:rPr>
        <w:t xml:space="preserve"> </w:t>
      </w:r>
      <w:r w:rsidR="005A25F5" w:rsidRPr="002F4565">
        <w:rPr>
          <w:lang w:val="pt-BR"/>
        </w:rPr>
        <w:t>alimentar é</w:t>
      </w:r>
      <w:r w:rsidRPr="002F4565">
        <w:rPr>
          <w:lang w:val="pt-BR"/>
        </w:rPr>
        <w:t xml:space="preserve"> defin</w:t>
      </w:r>
      <w:r w:rsidR="005A25F5" w:rsidRPr="002F4565">
        <w:rPr>
          <w:lang w:val="pt-BR"/>
        </w:rPr>
        <w:t>ida pela FAO (</w:t>
      </w:r>
      <w:r w:rsidRPr="002F4565">
        <w:rPr>
          <w:lang w:val="pt-BR"/>
        </w:rPr>
        <w:t>Organiz</w:t>
      </w:r>
      <w:r w:rsidR="00F21F55" w:rsidRPr="002F4565">
        <w:rPr>
          <w:lang w:val="pt-BR"/>
        </w:rPr>
        <w:t>ação</w:t>
      </w:r>
      <w:r w:rsidRPr="002F4565">
        <w:rPr>
          <w:lang w:val="pt-BR"/>
        </w:rPr>
        <w:t xml:space="preserve"> </w:t>
      </w:r>
      <w:r w:rsidR="005A25F5" w:rsidRPr="002F4565">
        <w:rPr>
          <w:lang w:val="pt-BR"/>
        </w:rPr>
        <w:t xml:space="preserve">para a Alimentação e Agricultura) </w:t>
      </w:r>
      <w:r w:rsidR="0049090C" w:rsidRPr="002F4565">
        <w:rPr>
          <w:lang w:val="pt-BR"/>
        </w:rPr>
        <w:t>d</w:t>
      </w:r>
      <w:r w:rsidR="005A25F5" w:rsidRPr="002F4565">
        <w:rPr>
          <w:lang w:val="pt-BR"/>
        </w:rPr>
        <w:t>as</w:t>
      </w:r>
      <w:r w:rsidRPr="002F4565">
        <w:rPr>
          <w:lang w:val="pt-BR"/>
        </w:rPr>
        <w:t xml:space="preserve"> </w:t>
      </w:r>
      <w:r w:rsidR="005A25F5" w:rsidRPr="002F4565">
        <w:rPr>
          <w:lang w:val="pt-BR"/>
        </w:rPr>
        <w:t>Nações Unidas</w:t>
      </w:r>
      <w:r w:rsidRPr="002F4565">
        <w:rPr>
          <w:lang w:val="pt-BR"/>
        </w:rPr>
        <w:t xml:space="preserve"> </w:t>
      </w:r>
      <w:r w:rsidR="005A25F5" w:rsidRPr="002F4565">
        <w:rPr>
          <w:lang w:val="pt-BR"/>
        </w:rPr>
        <w:t xml:space="preserve">como </w:t>
      </w:r>
      <w:r w:rsidRPr="002F4565">
        <w:rPr>
          <w:lang w:val="pt-BR"/>
        </w:rPr>
        <w:t>situ</w:t>
      </w:r>
      <w:r w:rsidR="00F21F55" w:rsidRPr="002F4565">
        <w:rPr>
          <w:lang w:val="pt-BR"/>
        </w:rPr>
        <w:t>ação</w:t>
      </w:r>
      <w:r w:rsidRPr="002F4565">
        <w:rPr>
          <w:lang w:val="pt-BR"/>
        </w:rPr>
        <w:t xml:space="preserve"> </w:t>
      </w:r>
      <w:r w:rsidR="005A25F5" w:rsidRPr="002F4565">
        <w:rPr>
          <w:lang w:val="pt-BR"/>
        </w:rPr>
        <w:t xml:space="preserve">em que </w:t>
      </w:r>
      <w:r w:rsidRPr="002F4565">
        <w:rPr>
          <w:lang w:val="pt-BR"/>
        </w:rPr>
        <w:t>“</w:t>
      </w:r>
      <w:r w:rsidR="005A25F5" w:rsidRPr="002F4565">
        <w:rPr>
          <w:lang w:val="pt-BR"/>
        </w:rPr>
        <w:t>todas as pessoas</w:t>
      </w:r>
      <w:r w:rsidRPr="002F4565">
        <w:rPr>
          <w:lang w:val="pt-BR"/>
        </w:rPr>
        <w:t xml:space="preserve">, </w:t>
      </w:r>
      <w:r w:rsidR="005A25F5" w:rsidRPr="002F4565">
        <w:rPr>
          <w:lang w:val="pt-BR"/>
        </w:rPr>
        <w:t>em todas as ocasiões</w:t>
      </w:r>
      <w:r w:rsidRPr="002F4565">
        <w:rPr>
          <w:lang w:val="pt-BR"/>
        </w:rPr>
        <w:t xml:space="preserve">, </w:t>
      </w:r>
      <w:r w:rsidR="005A25F5" w:rsidRPr="002F4565">
        <w:rPr>
          <w:lang w:val="pt-BR"/>
        </w:rPr>
        <w:t xml:space="preserve">têm acesso físico e econômico a </w:t>
      </w:r>
      <w:r w:rsidR="0049090C" w:rsidRPr="002F4565">
        <w:rPr>
          <w:lang w:val="pt-BR"/>
        </w:rPr>
        <w:t>alimento</w:t>
      </w:r>
      <w:r w:rsidR="005A25F5" w:rsidRPr="002F4565">
        <w:rPr>
          <w:lang w:val="pt-BR"/>
        </w:rPr>
        <w:t>s suficientes, seguros e nutritivos</w:t>
      </w:r>
      <w:r w:rsidR="00BC3868" w:rsidRPr="002F4565">
        <w:rPr>
          <w:lang w:val="pt-BR"/>
        </w:rPr>
        <w:t>,</w:t>
      </w:r>
      <w:r w:rsidRPr="002F4565">
        <w:rPr>
          <w:lang w:val="pt-BR"/>
        </w:rPr>
        <w:t xml:space="preserve"> </w:t>
      </w:r>
      <w:r w:rsidR="005A25F5" w:rsidRPr="002F4565">
        <w:rPr>
          <w:lang w:val="pt-BR"/>
        </w:rPr>
        <w:t xml:space="preserve">necessários para atender às suas necessidades </w:t>
      </w:r>
      <w:r w:rsidR="0049090C" w:rsidRPr="002F4565">
        <w:rPr>
          <w:lang w:val="pt-BR"/>
        </w:rPr>
        <w:t>e</w:t>
      </w:r>
      <w:r w:rsidRPr="002F4565">
        <w:rPr>
          <w:lang w:val="pt-BR"/>
        </w:rPr>
        <w:t xml:space="preserve"> </w:t>
      </w:r>
      <w:r w:rsidR="005A25F5" w:rsidRPr="002F4565">
        <w:rPr>
          <w:lang w:val="pt-BR"/>
        </w:rPr>
        <w:t xml:space="preserve">preferências </w:t>
      </w:r>
      <w:r w:rsidR="0049090C" w:rsidRPr="002F4565">
        <w:rPr>
          <w:lang w:val="pt-BR"/>
        </w:rPr>
        <w:t>aliment</w:t>
      </w:r>
      <w:r w:rsidR="005A25F5" w:rsidRPr="002F4565">
        <w:rPr>
          <w:lang w:val="pt-BR"/>
        </w:rPr>
        <w:t>ares para uma vida ativa e saudável</w:t>
      </w:r>
      <w:proofErr w:type="gramStart"/>
      <w:r w:rsidRPr="002F4565">
        <w:rPr>
          <w:lang w:val="pt-BR"/>
        </w:rPr>
        <w:t>”.</w:t>
      </w:r>
      <w:proofErr w:type="gramEnd"/>
      <w:r w:rsidRPr="002F4565">
        <w:rPr>
          <w:vertAlign w:val="superscript"/>
          <w:lang w:val="pt-BR"/>
        </w:rPr>
        <w:t>1</w:t>
      </w:r>
    </w:p>
    <w:p w:rsidR="006A31E1" w:rsidRPr="002F4565" w:rsidRDefault="0049090C" w:rsidP="0051636A">
      <w:pPr>
        <w:spacing w:before="120" w:after="0" w:line="240" w:lineRule="auto"/>
        <w:rPr>
          <w:lang w:val="pt-BR"/>
        </w:rPr>
      </w:pPr>
      <w:r w:rsidRPr="002F4565">
        <w:rPr>
          <w:lang w:val="pt-BR"/>
        </w:rPr>
        <w:t>O</w:t>
      </w:r>
      <w:r w:rsidR="00115B91" w:rsidRPr="002F4565">
        <w:rPr>
          <w:lang w:val="pt-BR"/>
        </w:rPr>
        <w:t xml:space="preserve"> </w:t>
      </w:r>
      <w:r w:rsidR="005A25F5" w:rsidRPr="002F4565">
        <w:rPr>
          <w:lang w:val="pt-BR"/>
        </w:rPr>
        <w:t>Comitê</w:t>
      </w:r>
      <w:r w:rsidR="00115B91" w:rsidRPr="002F4565">
        <w:rPr>
          <w:lang w:val="pt-BR"/>
        </w:rPr>
        <w:t xml:space="preserve"> </w:t>
      </w:r>
      <w:r w:rsidR="005A25F5" w:rsidRPr="002F4565">
        <w:rPr>
          <w:lang w:val="pt-BR"/>
        </w:rPr>
        <w:t>de Direitos Econômicos</w:t>
      </w:r>
      <w:r w:rsidR="00115B91" w:rsidRPr="002F4565">
        <w:rPr>
          <w:lang w:val="pt-BR"/>
        </w:rPr>
        <w:t>, Socia</w:t>
      </w:r>
      <w:r w:rsidR="005A25F5" w:rsidRPr="002F4565">
        <w:rPr>
          <w:lang w:val="pt-BR"/>
        </w:rPr>
        <w:t>is</w:t>
      </w:r>
      <w:r w:rsidR="00115B91" w:rsidRPr="002F4565">
        <w:rPr>
          <w:lang w:val="pt-BR"/>
        </w:rPr>
        <w:t xml:space="preserve"> </w:t>
      </w:r>
      <w:r w:rsidRPr="002F4565">
        <w:rPr>
          <w:lang w:val="pt-BR"/>
        </w:rPr>
        <w:t>e</w:t>
      </w:r>
      <w:r w:rsidR="00115B91" w:rsidRPr="002F4565">
        <w:rPr>
          <w:lang w:val="pt-BR"/>
        </w:rPr>
        <w:t xml:space="preserve"> Cultura</w:t>
      </w:r>
      <w:r w:rsidR="005A25F5" w:rsidRPr="002F4565">
        <w:rPr>
          <w:lang w:val="pt-BR"/>
        </w:rPr>
        <w:t>is</w:t>
      </w:r>
      <w:r w:rsidR="00115B91" w:rsidRPr="002F4565">
        <w:rPr>
          <w:lang w:val="pt-BR"/>
        </w:rPr>
        <w:t xml:space="preserve"> </w:t>
      </w:r>
      <w:r w:rsidR="006A31E1" w:rsidRPr="002F4565">
        <w:rPr>
          <w:lang w:val="pt-BR"/>
        </w:rPr>
        <w:t>estabelece que uma das o</w:t>
      </w:r>
      <w:r w:rsidR="00802E44" w:rsidRPr="002F4565">
        <w:rPr>
          <w:lang w:val="pt-BR"/>
        </w:rPr>
        <w:t xml:space="preserve">brigações </w:t>
      </w:r>
      <w:r w:rsidR="006A31E1" w:rsidRPr="002F4565">
        <w:rPr>
          <w:lang w:val="pt-BR"/>
        </w:rPr>
        <w:t xml:space="preserve">fundamentais do </w:t>
      </w:r>
      <w:r w:rsidR="00802E44" w:rsidRPr="002F4565">
        <w:rPr>
          <w:lang w:val="pt-BR"/>
        </w:rPr>
        <w:t>Estado</w:t>
      </w:r>
      <w:r w:rsidR="00115B91" w:rsidRPr="002F4565">
        <w:rPr>
          <w:lang w:val="pt-BR"/>
        </w:rPr>
        <w:t xml:space="preserve"> </w:t>
      </w:r>
      <w:r w:rsidR="006A31E1" w:rsidRPr="002F4565">
        <w:rPr>
          <w:lang w:val="pt-BR"/>
        </w:rPr>
        <w:t xml:space="preserve">segundo o </w:t>
      </w:r>
      <w:r w:rsidR="00F21F55" w:rsidRPr="002F4565">
        <w:rPr>
          <w:lang w:val="pt-BR"/>
        </w:rPr>
        <w:t>direito à saúde</w:t>
      </w:r>
      <w:r w:rsidR="00115B91" w:rsidRPr="002F4565">
        <w:rPr>
          <w:lang w:val="pt-BR"/>
        </w:rPr>
        <w:t xml:space="preserve"> inclu</w:t>
      </w:r>
      <w:r w:rsidR="006A31E1" w:rsidRPr="002F4565">
        <w:rPr>
          <w:lang w:val="pt-BR"/>
        </w:rPr>
        <w:t>i</w:t>
      </w:r>
      <w:r w:rsidR="00115B91" w:rsidRPr="002F4565">
        <w:rPr>
          <w:lang w:val="pt-BR"/>
        </w:rPr>
        <w:t xml:space="preserve"> </w:t>
      </w:r>
      <w:r w:rsidR="00F21F55" w:rsidRPr="002F4565">
        <w:rPr>
          <w:lang w:val="pt-BR"/>
        </w:rPr>
        <w:t>garantir</w:t>
      </w:r>
      <w:r w:rsidR="00115B91" w:rsidRPr="002F4565">
        <w:rPr>
          <w:lang w:val="pt-BR"/>
        </w:rPr>
        <w:t xml:space="preserve"> “</w:t>
      </w:r>
      <w:r w:rsidR="006A31E1" w:rsidRPr="002F4565">
        <w:rPr>
          <w:lang w:val="pt-BR"/>
        </w:rPr>
        <w:t>acesso</w:t>
      </w:r>
      <w:r w:rsidR="00115B91" w:rsidRPr="002F4565">
        <w:rPr>
          <w:lang w:val="pt-BR"/>
        </w:rPr>
        <w:t xml:space="preserve"> </w:t>
      </w:r>
      <w:r w:rsidR="006A31E1" w:rsidRPr="002F4565">
        <w:rPr>
          <w:lang w:val="pt-BR"/>
        </w:rPr>
        <w:t xml:space="preserve">a </w:t>
      </w:r>
      <w:r w:rsidRPr="002F4565">
        <w:rPr>
          <w:lang w:val="pt-BR"/>
        </w:rPr>
        <w:t>alimento</w:t>
      </w:r>
      <w:r w:rsidR="006A31E1" w:rsidRPr="002F4565">
        <w:rPr>
          <w:lang w:val="pt-BR"/>
        </w:rPr>
        <w:t xml:space="preserve">s mínimos e essenciais que são </w:t>
      </w:r>
      <w:r w:rsidRPr="002F4565">
        <w:rPr>
          <w:lang w:val="pt-BR"/>
        </w:rPr>
        <w:t>adequados</w:t>
      </w:r>
      <w:r w:rsidR="00115B91" w:rsidRPr="002F4565">
        <w:rPr>
          <w:lang w:val="pt-BR"/>
        </w:rPr>
        <w:t xml:space="preserve"> </w:t>
      </w:r>
      <w:r w:rsidR="006A31E1" w:rsidRPr="002F4565">
        <w:rPr>
          <w:lang w:val="pt-BR"/>
        </w:rPr>
        <w:t>e seguros em termos nutricionais</w:t>
      </w:r>
      <w:r w:rsidR="00115B91" w:rsidRPr="002F4565">
        <w:rPr>
          <w:lang w:val="pt-BR"/>
        </w:rPr>
        <w:t xml:space="preserve"> </w:t>
      </w:r>
      <w:r w:rsidR="006A31E1" w:rsidRPr="002F4565">
        <w:rPr>
          <w:lang w:val="pt-BR"/>
        </w:rPr>
        <w:t>para garantir</w:t>
      </w:r>
      <w:r w:rsidR="00115B91" w:rsidRPr="002F4565">
        <w:rPr>
          <w:lang w:val="pt-BR"/>
        </w:rPr>
        <w:t xml:space="preserve"> </w:t>
      </w:r>
      <w:r w:rsidR="006A31E1" w:rsidRPr="002F4565">
        <w:rPr>
          <w:lang w:val="pt-BR"/>
        </w:rPr>
        <w:t>a superação da fome a todos</w:t>
      </w:r>
      <w:proofErr w:type="gramStart"/>
      <w:r w:rsidR="00115B91" w:rsidRPr="002F4565">
        <w:rPr>
          <w:lang w:val="pt-BR"/>
        </w:rPr>
        <w:t>”.</w:t>
      </w:r>
      <w:proofErr w:type="gramEnd"/>
      <w:r w:rsidR="00115B91" w:rsidRPr="002F4565">
        <w:rPr>
          <w:vertAlign w:val="superscript"/>
          <w:lang w:val="pt-BR"/>
        </w:rPr>
        <w:t>2</w:t>
      </w:r>
    </w:p>
    <w:p w:rsidR="006A31E1" w:rsidRPr="002F4565" w:rsidRDefault="006A31E1" w:rsidP="0051636A">
      <w:pPr>
        <w:spacing w:before="120" w:after="0" w:line="240" w:lineRule="auto"/>
        <w:rPr>
          <w:lang w:val="pt-BR"/>
        </w:rPr>
      </w:pPr>
      <w:r w:rsidRPr="002F4565">
        <w:rPr>
          <w:lang w:val="pt-BR"/>
        </w:rPr>
        <w:t xml:space="preserve">Sobre as </w:t>
      </w:r>
      <w:r w:rsidR="00F21F55" w:rsidRPr="002F4565">
        <w:rPr>
          <w:lang w:val="pt-BR"/>
        </w:rPr>
        <w:t>obrigações</w:t>
      </w:r>
      <w:r w:rsidR="00115B91" w:rsidRPr="002F4565">
        <w:rPr>
          <w:lang w:val="pt-BR"/>
        </w:rPr>
        <w:t xml:space="preserve"> </w:t>
      </w:r>
      <w:r w:rsidRPr="002F4565">
        <w:rPr>
          <w:lang w:val="pt-BR"/>
        </w:rPr>
        <w:t xml:space="preserve">legais segundo o </w:t>
      </w:r>
      <w:r w:rsidR="0049090C" w:rsidRPr="002F4565">
        <w:rPr>
          <w:lang w:val="pt-BR"/>
        </w:rPr>
        <w:t>direito</w:t>
      </w:r>
      <w:r w:rsidR="00115B91" w:rsidRPr="002F4565">
        <w:rPr>
          <w:lang w:val="pt-BR"/>
        </w:rPr>
        <w:t xml:space="preserve"> </w:t>
      </w:r>
      <w:r w:rsidRPr="002F4565">
        <w:rPr>
          <w:lang w:val="pt-BR"/>
        </w:rPr>
        <w:t xml:space="preserve">ao </w:t>
      </w:r>
      <w:r w:rsidR="0049090C" w:rsidRPr="002F4565">
        <w:rPr>
          <w:lang w:val="pt-BR"/>
        </w:rPr>
        <w:t>alimento</w:t>
      </w:r>
      <w:r w:rsidR="00115B91" w:rsidRPr="002F4565">
        <w:rPr>
          <w:lang w:val="pt-BR"/>
        </w:rPr>
        <w:t xml:space="preserve">, </w:t>
      </w:r>
      <w:r w:rsidR="00261A8A" w:rsidRPr="002F4565">
        <w:rPr>
          <w:lang w:val="pt-BR"/>
        </w:rPr>
        <w:t>o</w:t>
      </w:r>
      <w:r w:rsidR="00115B91" w:rsidRPr="002F4565">
        <w:rPr>
          <w:lang w:val="pt-BR"/>
        </w:rPr>
        <w:t xml:space="preserve"> </w:t>
      </w:r>
      <w:r w:rsidR="005A25F5" w:rsidRPr="002F4565">
        <w:rPr>
          <w:lang w:val="pt-BR"/>
        </w:rPr>
        <w:t>Comitê</w:t>
      </w:r>
      <w:r w:rsidR="00115B91" w:rsidRPr="002F4565">
        <w:rPr>
          <w:lang w:val="pt-BR"/>
        </w:rPr>
        <w:t xml:space="preserve"> </w:t>
      </w:r>
      <w:r w:rsidRPr="002F4565">
        <w:rPr>
          <w:lang w:val="pt-BR"/>
        </w:rPr>
        <w:t>observou também que</w:t>
      </w:r>
      <w:r w:rsidR="00115B91" w:rsidRPr="002F4565">
        <w:rPr>
          <w:lang w:val="pt-BR"/>
        </w:rPr>
        <w:t>: “</w:t>
      </w:r>
      <w:r w:rsidRPr="002F4565">
        <w:rPr>
          <w:lang w:val="pt-BR"/>
        </w:rPr>
        <w:t>Cada Estado</w:t>
      </w:r>
      <w:r w:rsidR="00115B91" w:rsidRPr="002F4565">
        <w:rPr>
          <w:lang w:val="pt-BR"/>
        </w:rPr>
        <w:t xml:space="preserve"> </w:t>
      </w:r>
      <w:r w:rsidR="005A25F5" w:rsidRPr="002F4565">
        <w:rPr>
          <w:lang w:val="pt-BR"/>
        </w:rPr>
        <w:t>é</w:t>
      </w:r>
      <w:r w:rsidR="00115B91" w:rsidRPr="002F4565">
        <w:rPr>
          <w:lang w:val="pt-BR"/>
        </w:rPr>
        <w:t xml:space="preserve"> ob</w:t>
      </w:r>
      <w:r w:rsidRPr="002F4565">
        <w:rPr>
          <w:lang w:val="pt-BR"/>
        </w:rPr>
        <w:t>rigado a garantir</w:t>
      </w:r>
      <w:r w:rsidR="00115B91" w:rsidRPr="002F4565">
        <w:rPr>
          <w:lang w:val="pt-BR"/>
        </w:rPr>
        <w:t xml:space="preserve"> </w:t>
      </w:r>
      <w:r w:rsidRPr="002F4565">
        <w:rPr>
          <w:lang w:val="pt-BR"/>
        </w:rPr>
        <w:t>a todos de sua jurisdição</w:t>
      </w:r>
      <w:r w:rsidR="00115B91" w:rsidRPr="002F4565">
        <w:rPr>
          <w:lang w:val="pt-BR"/>
        </w:rPr>
        <w:t xml:space="preserve"> </w:t>
      </w:r>
      <w:r w:rsidRPr="002F4565">
        <w:rPr>
          <w:lang w:val="pt-BR"/>
        </w:rPr>
        <w:t>acesso</w:t>
      </w:r>
      <w:r w:rsidR="00115B91" w:rsidRPr="002F4565">
        <w:rPr>
          <w:lang w:val="pt-BR"/>
        </w:rPr>
        <w:t xml:space="preserve"> </w:t>
      </w:r>
      <w:r w:rsidRPr="002F4565">
        <w:rPr>
          <w:lang w:val="pt-BR"/>
        </w:rPr>
        <w:t xml:space="preserve">a </w:t>
      </w:r>
      <w:r w:rsidR="0049090C" w:rsidRPr="002F4565">
        <w:rPr>
          <w:lang w:val="pt-BR"/>
        </w:rPr>
        <w:t>alimento</w:t>
      </w:r>
      <w:r w:rsidRPr="002F4565">
        <w:rPr>
          <w:lang w:val="pt-BR"/>
        </w:rPr>
        <w:t>s mínimos e essenciais que sejam suficientes</w:t>
      </w:r>
      <w:r w:rsidR="00115B91" w:rsidRPr="002F4565">
        <w:rPr>
          <w:lang w:val="pt-BR"/>
        </w:rPr>
        <w:t xml:space="preserve">, </w:t>
      </w:r>
      <w:r w:rsidR="0049090C" w:rsidRPr="002F4565">
        <w:rPr>
          <w:lang w:val="pt-BR"/>
        </w:rPr>
        <w:t>adequados</w:t>
      </w:r>
      <w:r w:rsidR="00115B91" w:rsidRPr="002F4565">
        <w:rPr>
          <w:lang w:val="pt-BR"/>
        </w:rPr>
        <w:t xml:space="preserve"> </w:t>
      </w:r>
      <w:r w:rsidR="0049090C" w:rsidRPr="002F4565">
        <w:rPr>
          <w:lang w:val="pt-BR"/>
        </w:rPr>
        <w:t>e</w:t>
      </w:r>
      <w:r w:rsidR="00115B91" w:rsidRPr="002F4565">
        <w:rPr>
          <w:lang w:val="pt-BR"/>
        </w:rPr>
        <w:t xml:space="preserve"> </w:t>
      </w:r>
      <w:r w:rsidRPr="002F4565">
        <w:rPr>
          <w:lang w:val="pt-BR"/>
        </w:rPr>
        <w:t>seguros em termos nutricionais</w:t>
      </w:r>
      <w:r w:rsidR="00115B91" w:rsidRPr="002F4565">
        <w:rPr>
          <w:lang w:val="pt-BR"/>
        </w:rPr>
        <w:t xml:space="preserve">, </w:t>
      </w:r>
      <w:r w:rsidRPr="002F4565">
        <w:rPr>
          <w:lang w:val="pt-BR"/>
        </w:rPr>
        <w:t>para garantir</w:t>
      </w:r>
      <w:r w:rsidR="00115B91" w:rsidRPr="002F4565">
        <w:rPr>
          <w:lang w:val="pt-BR"/>
        </w:rPr>
        <w:t xml:space="preserve"> </w:t>
      </w:r>
      <w:r w:rsidRPr="002F4565">
        <w:rPr>
          <w:lang w:val="pt-BR"/>
        </w:rPr>
        <w:t>a superação da fome</w:t>
      </w:r>
      <w:r w:rsidR="00115B91" w:rsidRPr="002F4565">
        <w:rPr>
          <w:lang w:val="pt-BR"/>
        </w:rPr>
        <w:t>.”</w:t>
      </w:r>
      <w:proofErr w:type="gramStart"/>
      <w:r w:rsidR="00115B91" w:rsidRPr="002F4565">
        <w:rPr>
          <w:vertAlign w:val="superscript"/>
          <w:lang w:val="pt-BR"/>
        </w:rPr>
        <w:t>3</w:t>
      </w:r>
      <w:proofErr w:type="gramEnd"/>
    </w:p>
    <w:p w:rsidR="00115B91" w:rsidRPr="002F4565" w:rsidRDefault="006A31E1" w:rsidP="0051636A">
      <w:pPr>
        <w:spacing w:before="120" w:after="0" w:line="240" w:lineRule="auto"/>
        <w:rPr>
          <w:lang w:val="pt-BR"/>
        </w:rPr>
      </w:pPr>
      <w:r w:rsidRPr="002F4565">
        <w:rPr>
          <w:lang w:val="pt-BR"/>
        </w:rPr>
        <w:t>Esta obrigação</w:t>
      </w:r>
      <w:r w:rsidR="00115B91" w:rsidRPr="002F4565">
        <w:rPr>
          <w:lang w:val="pt-BR"/>
        </w:rPr>
        <w:t xml:space="preserve"> </w:t>
      </w:r>
      <w:r w:rsidRPr="002F4565">
        <w:rPr>
          <w:lang w:val="pt-BR"/>
        </w:rPr>
        <w:t>concomitante se torna cada vez mais importante</w:t>
      </w:r>
      <w:r w:rsidR="00115B91" w:rsidRPr="002F4565">
        <w:rPr>
          <w:lang w:val="pt-BR"/>
        </w:rPr>
        <w:t xml:space="preserve">, </w:t>
      </w:r>
      <w:r w:rsidRPr="002F4565">
        <w:rPr>
          <w:lang w:val="pt-BR"/>
        </w:rPr>
        <w:t xml:space="preserve">na medida em que </w:t>
      </w:r>
      <w:r w:rsidR="00261A8A" w:rsidRPr="002F4565">
        <w:rPr>
          <w:lang w:val="pt-BR"/>
        </w:rPr>
        <w:t>alimentos pouco saudáveis</w:t>
      </w:r>
      <w:r w:rsidR="00115B91" w:rsidRPr="002F4565">
        <w:rPr>
          <w:lang w:val="pt-BR"/>
        </w:rPr>
        <w:t xml:space="preserve"> </w:t>
      </w:r>
      <w:r w:rsidRPr="002F4565">
        <w:rPr>
          <w:lang w:val="pt-BR"/>
        </w:rPr>
        <w:t>for</w:t>
      </w:r>
      <w:r w:rsidR="00BC3868" w:rsidRPr="002F4565">
        <w:rPr>
          <w:lang w:val="pt-BR"/>
        </w:rPr>
        <w:t>a</w:t>
      </w:r>
      <w:r w:rsidRPr="002F4565">
        <w:rPr>
          <w:lang w:val="pt-BR"/>
        </w:rPr>
        <w:t xml:space="preserve">m </w:t>
      </w:r>
      <w:r w:rsidR="00115B91" w:rsidRPr="002F4565">
        <w:rPr>
          <w:lang w:val="pt-BR"/>
        </w:rPr>
        <w:t>implica</w:t>
      </w:r>
      <w:r w:rsidRPr="002F4565">
        <w:rPr>
          <w:lang w:val="pt-BR"/>
        </w:rPr>
        <w:t>dos no crescente</w:t>
      </w:r>
      <w:r w:rsidR="00115B91" w:rsidRPr="002F4565">
        <w:rPr>
          <w:lang w:val="pt-BR"/>
        </w:rPr>
        <w:t xml:space="preserve"> </w:t>
      </w:r>
      <w:r w:rsidRPr="002F4565">
        <w:rPr>
          <w:lang w:val="pt-BR"/>
        </w:rPr>
        <w:t>ônus global</w:t>
      </w:r>
      <w:r w:rsidR="00115B91" w:rsidRPr="002F4565">
        <w:rPr>
          <w:lang w:val="pt-BR"/>
        </w:rPr>
        <w:t xml:space="preserve"> </w:t>
      </w:r>
      <w:r w:rsidR="0049090C" w:rsidRPr="002F4565">
        <w:rPr>
          <w:lang w:val="pt-BR"/>
        </w:rPr>
        <w:t>d</w:t>
      </w:r>
      <w:r w:rsidRPr="002F4565">
        <w:rPr>
          <w:lang w:val="pt-BR"/>
        </w:rPr>
        <w:t>as</w:t>
      </w:r>
      <w:r w:rsidR="00115B91" w:rsidRPr="002F4565">
        <w:rPr>
          <w:lang w:val="pt-BR"/>
        </w:rPr>
        <w:t xml:space="preserve"> </w:t>
      </w:r>
      <w:r w:rsidR="0049090C" w:rsidRPr="002F4565">
        <w:rPr>
          <w:lang w:val="pt-BR"/>
        </w:rPr>
        <w:t>DNT</w:t>
      </w:r>
      <w:r w:rsidR="00115B91" w:rsidRPr="002F4565">
        <w:rPr>
          <w:lang w:val="pt-BR"/>
        </w:rPr>
        <w:t>s.</w:t>
      </w:r>
    </w:p>
    <w:p w:rsidR="00115B91" w:rsidRPr="002F4565" w:rsidRDefault="00115B91" w:rsidP="0051636A">
      <w:pPr>
        <w:spacing w:before="120" w:after="0" w:line="240" w:lineRule="auto"/>
        <w:rPr>
          <w:lang w:val="pt-BR"/>
        </w:rPr>
      </w:pPr>
      <w:r w:rsidRPr="002F4565">
        <w:rPr>
          <w:lang w:val="pt-BR"/>
        </w:rPr>
        <w:t xml:space="preserve">2. </w:t>
      </w:r>
      <w:r w:rsidR="006A31E1" w:rsidRPr="002F4565">
        <w:rPr>
          <w:lang w:val="pt-BR"/>
        </w:rPr>
        <w:t xml:space="preserve">Mais de </w:t>
      </w:r>
      <w:r w:rsidRPr="002F4565">
        <w:rPr>
          <w:lang w:val="pt-BR"/>
        </w:rPr>
        <w:t xml:space="preserve">36 </w:t>
      </w:r>
      <w:r w:rsidR="006A31E1" w:rsidRPr="002F4565">
        <w:rPr>
          <w:lang w:val="pt-BR"/>
        </w:rPr>
        <w:t>milhões</w:t>
      </w:r>
      <w:r w:rsidRPr="002F4565">
        <w:rPr>
          <w:lang w:val="pt-BR"/>
        </w:rPr>
        <w:t xml:space="preserve"> </w:t>
      </w:r>
      <w:r w:rsidR="006A31E1" w:rsidRPr="002F4565">
        <w:rPr>
          <w:lang w:val="pt-BR"/>
        </w:rPr>
        <w:t>de pessoas</w:t>
      </w:r>
      <w:r w:rsidRPr="002F4565">
        <w:rPr>
          <w:lang w:val="pt-BR"/>
        </w:rPr>
        <w:t xml:space="preserve"> </w:t>
      </w:r>
      <w:r w:rsidR="006A31E1" w:rsidRPr="002F4565">
        <w:rPr>
          <w:lang w:val="pt-BR"/>
        </w:rPr>
        <w:t xml:space="preserve">morrem de </w:t>
      </w:r>
      <w:r w:rsidR="0049090C" w:rsidRPr="002F4565">
        <w:rPr>
          <w:lang w:val="pt-BR"/>
        </w:rPr>
        <w:t>DNT</w:t>
      </w:r>
      <w:r w:rsidRPr="002F4565">
        <w:rPr>
          <w:lang w:val="pt-BR"/>
        </w:rPr>
        <w:t xml:space="preserve">s </w:t>
      </w:r>
      <w:r w:rsidR="006A31E1" w:rsidRPr="002F4565">
        <w:rPr>
          <w:lang w:val="pt-BR"/>
        </w:rPr>
        <w:t>a cada ano</w:t>
      </w:r>
      <w:r w:rsidRPr="002F4565">
        <w:rPr>
          <w:lang w:val="pt-BR"/>
        </w:rPr>
        <w:t xml:space="preserve">. </w:t>
      </w:r>
      <w:r w:rsidR="006A31E1" w:rsidRPr="002F4565">
        <w:rPr>
          <w:lang w:val="pt-BR"/>
        </w:rPr>
        <w:t xml:space="preserve">As </w:t>
      </w:r>
      <w:r w:rsidR="0049090C" w:rsidRPr="002F4565">
        <w:rPr>
          <w:lang w:val="pt-BR"/>
        </w:rPr>
        <w:t>DNT</w:t>
      </w:r>
      <w:r w:rsidRPr="002F4565">
        <w:rPr>
          <w:lang w:val="pt-BR"/>
        </w:rPr>
        <w:t xml:space="preserve">s </w:t>
      </w:r>
      <w:r w:rsidR="006A31E1" w:rsidRPr="002F4565">
        <w:rPr>
          <w:lang w:val="pt-BR"/>
        </w:rPr>
        <w:t xml:space="preserve">superaram as </w:t>
      </w:r>
      <w:r w:rsidR="0049090C" w:rsidRPr="002F4565">
        <w:rPr>
          <w:lang w:val="pt-BR"/>
        </w:rPr>
        <w:t>doenças</w:t>
      </w:r>
      <w:r w:rsidRPr="002F4565">
        <w:rPr>
          <w:lang w:val="pt-BR"/>
        </w:rPr>
        <w:t xml:space="preserve"> </w:t>
      </w:r>
      <w:r w:rsidR="006A31E1" w:rsidRPr="002F4565">
        <w:rPr>
          <w:lang w:val="pt-BR"/>
        </w:rPr>
        <w:t xml:space="preserve">transmissíveis como principal causa </w:t>
      </w:r>
      <w:r w:rsidR="0049090C" w:rsidRPr="002F4565">
        <w:rPr>
          <w:lang w:val="pt-BR"/>
        </w:rPr>
        <w:t>de</w:t>
      </w:r>
      <w:r w:rsidRPr="002F4565">
        <w:rPr>
          <w:lang w:val="pt-BR"/>
        </w:rPr>
        <w:t xml:space="preserve"> </w:t>
      </w:r>
      <w:r w:rsidR="006A31E1" w:rsidRPr="002F4565">
        <w:rPr>
          <w:lang w:val="pt-BR"/>
        </w:rPr>
        <w:t>óbito</w:t>
      </w:r>
      <w:r w:rsidRPr="002F4565">
        <w:rPr>
          <w:lang w:val="pt-BR"/>
        </w:rPr>
        <w:t xml:space="preserve"> </w:t>
      </w:r>
      <w:r w:rsidR="006A31E1" w:rsidRPr="002F4565">
        <w:rPr>
          <w:lang w:val="pt-BR"/>
        </w:rPr>
        <w:t>em quase todo o mundo</w:t>
      </w:r>
      <w:r w:rsidRPr="002F4565">
        <w:rPr>
          <w:lang w:val="pt-BR"/>
        </w:rPr>
        <w:t xml:space="preserve">. </w:t>
      </w:r>
      <w:r w:rsidR="006A31E1" w:rsidRPr="002F4565">
        <w:rPr>
          <w:lang w:val="pt-BR"/>
        </w:rPr>
        <w:t>Quatro</w:t>
      </w:r>
      <w:r w:rsidRPr="002F4565">
        <w:rPr>
          <w:lang w:val="pt-BR"/>
        </w:rPr>
        <w:t xml:space="preserve"> </w:t>
      </w:r>
      <w:r w:rsidR="006A31E1" w:rsidRPr="002F4565">
        <w:rPr>
          <w:lang w:val="pt-BR"/>
        </w:rPr>
        <w:t xml:space="preserve">principais </w:t>
      </w:r>
      <w:r w:rsidR="0049090C" w:rsidRPr="002F4565">
        <w:rPr>
          <w:lang w:val="pt-BR"/>
        </w:rPr>
        <w:t>doenças</w:t>
      </w:r>
      <w:r w:rsidRPr="002F4565">
        <w:rPr>
          <w:lang w:val="pt-BR"/>
        </w:rPr>
        <w:t xml:space="preserve"> –</w:t>
      </w:r>
      <w:r w:rsidR="006A31E1" w:rsidRPr="002F4565">
        <w:rPr>
          <w:lang w:val="pt-BR"/>
        </w:rPr>
        <w:t xml:space="preserve"> </w:t>
      </w:r>
      <w:r w:rsidR="0049090C" w:rsidRPr="002F4565">
        <w:rPr>
          <w:lang w:val="pt-BR"/>
        </w:rPr>
        <w:t>doenças</w:t>
      </w:r>
      <w:r w:rsidR="006A31E1" w:rsidRPr="002F4565">
        <w:rPr>
          <w:lang w:val="pt-BR"/>
        </w:rPr>
        <w:t xml:space="preserve"> cardiovasculares</w:t>
      </w:r>
      <w:r w:rsidRPr="002F4565">
        <w:rPr>
          <w:lang w:val="pt-BR"/>
        </w:rPr>
        <w:t xml:space="preserve">, </w:t>
      </w:r>
      <w:r w:rsidR="006A31E1" w:rsidRPr="002F4565">
        <w:rPr>
          <w:lang w:val="pt-BR"/>
        </w:rPr>
        <w:t>câncer</w:t>
      </w:r>
      <w:r w:rsidRPr="002F4565">
        <w:rPr>
          <w:lang w:val="pt-BR"/>
        </w:rPr>
        <w:t xml:space="preserve">, </w:t>
      </w:r>
      <w:r w:rsidR="0049090C" w:rsidRPr="002F4565">
        <w:rPr>
          <w:lang w:val="pt-BR"/>
        </w:rPr>
        <w:t>doenças</w:t>
      </w:r>
      <w:r w:rsidRPr="002F4565">
        <w:rPr>
          <w:lang w:val="pt-BR"/>
        </w:rPr>
        <w:t xml:space="preserve"> </w:t>
      </w:r>
      <w:r w:rsidR="006A31E1" w:rsidRPr="002F4565">
        <w:rPr>
          <w:lang w:val="pt-BR"/>
        </w:rPr>
        <w:t xml:space="preserve">respiratórias crônicas </w:t>
      </w:r>
      <w:r w:rsidR="0049090C" w:rsidRPr="002F4565">
        <w:rPr>
          <w:lang w:val="pt-BR"/>
        </w:rPr>
        <w:t>e</w:t>
      </w:r>
      <w:r w:rsidRPr="002F4565">
        <w:rPr>
          <w:lang w:val="pt-BR"/>
        </w:rPr>
        <w:t xml:space="preserve"> diabetes – </w:t>
      </w:r>
      <w:r w:rsidR="006A31E1" w:rsidRPr="002F4565">
        <w:rPr>
          <w:lang w:val="pt-BR"/>
        </w:rPr>
        <w:t xml:space="preserve">respondem pela maior parte dos óbitos </w:t>
      </w:r>
      <w:r w:rsidRPr="002F4565">
        <w:rPr>
          <w:lang w:val="pt-BR"/>
        </w:rPr>
        <w:t>rela</w:t>
      </w:r>
      <w:r w:rsidR="006A31E1" w:rsidRPr="002F4565">
        <w:rPr>
          <w:lang w:val="pt-BR"/>
        </w:rPr>
        <w:t xml:space="preserve">cionados com </w:t>
      </w:r>
      <w:r w:rsidR="00BC3868" w:rsidRPr="002F4565">
        <w:rPr>
          <w:lang w:val="pt-BR"/>
        </w:rPr>
        <w:t xml:space="preserve">as </w:t>
      </w:r>
      <w:r w:rsidR="006A31E1" w:rsidRPr="002F4565">
        <w:rPr>
          <w:lang w:val="pt-BR"/>
        </w:rPr>
        <w:t>DNT</w:t>
      </w:r>
      <w:r w:rsidR="00BC3868" w:rsidRPr="002F4565">
        <w:rPr>
          <w:lang w:val="pt-BR"/>
        </w:rPr>
        <w:t>s</w:t>
      </w:r>
      <w:r w:rsidRPr="002F4565">
        <w:rPr>
          <w:lang w:val="pt-BR"/>
        </w:rPr>
        <w:t xml:space="preserve">. </w:t>
      </w:r>
      <w:r w:rsidR="006A31E1" w:rsidRPr="002F4565">
        <w:rPr>
          <w:lang w:val="pt-BR"/>
        </w:rPr>
        <w:t>As d</w:t>
      </w:r>
      <w:r w:rsidRPr="002F4565">
        <w:rPr>
          <w:lang w:val="pt-BR"/>
        </w:rPr>
        <w:t>iet</w:t>
      </w:r>
      <w:r w:rsidR="006A31E1" w:rsidRPr="002F4565">
        <w:rPr>
          <w:lang w:val="pt-BR"/>
        </w:rPr>
        <w:t xml:space="preserve">as não saudáveis constituem um dos principais </w:t>
      </w:r>
      <w:r w:rsidR="0040430A" w:rsidRPr="002F4565">
        <w:rPr>
          <w:lang w:val="pt-BR"/>
        </w:rPr>
        <w:t xml:space="preserve">fatores de risco </w:t>
      </w:r>
      <w:r w:rsidRPr="002F4565">
        <w:rPr>
          <w:lang w:val="pt-BR"/>
        </w:rPr>
        <w:t>modifi</w:t>
      </w:r>
      <w:r w:rsidR="0040430A" w:rsidRPr="002F4565">
        <w:rPr>
          <w:lang w:val="pt-BR"/>
        </w:rPr>
        <w:t>c</w:t>
      </w:r>
      <w:r w:rsidR="00802E44" w:rsidRPr="002F4565">
        <w:rPr>
          <w:lang w:val="pt-BR"/>
        </w:rPr>
        <w:t>áveis</w:t>
      </w:r>
      <w:r w:rsidR="00BC3868" w:rsidRPr="002F4565">
        <w:rPr>
          <w:lang w:val="pt-BR"/>
        </w:rPr>
        <w:t>,</w:t>
      </w:r>
      <w:r w:rsidRPr="002F4565">
        <w:rPr>
          <w:lang w:val="pt-BR"/>
        </w:rPr>
        <w:t xml:space="preserve"> associa</w:t>
      </w:r>
      <w:r w:rsidR="0040430A" w:rsidRPr="002F4565">
        <w:rPr>
          <w:lang w:val="pt-BR"/>
        </w:rPr>
        <w:t xml:space="preserve">dos com </w:t>
      </w:r>
      <w:r w:rsidR="00BC3868" w:rsidRPr="002F4565">
        <w:rPr>
          <w:lang w:val="pt-BR"/>
        </w:rPr>
        <w:t xml:space="preserve">as </w:t>
      </w:r>
      <w:r w:rsidR="0049090C" w:rsidRPr="002F4565">
        <w:rPr>
          <w:lang w:val="pt-BR"/>
        </w:rPr>
        <w:t>DNT</w:t>
      </w:r>
      <w:r w:rsidRPr="002F4565">
        <w:rPr>
          <w:lang w:val="pt-BR"/>
        </w:rPr>
        <w:t xml:space="preserve">s </w:t>
      </w:r>
      <w:r w:rsidR="0049090C" w:rsidRPr="002F4565">
        <w:rPr>
          <w:lang w:val="pt-BR"/>
        </w:rPr>
        <w:t>e</w:t>
      </w:r>
      <w:r w:rsidRPr="002F4565">
        <w:rPr>
          <w:lang w:val="pt-BR"/>
        </w:rPr>
        <w:t xml:space="preserve"> </w:t>
      </w:r>
      <w:r w:rsidR="0040430A" w:rsidRPr="002F4565">
        <w:rPr>
          <w:lang w:val="pt-BR"/>
        </w:rPr>
        <w:t xml:space="preserve">respondem por </w:t>
      </w:r>
      <w:r w:rsidRPr="002F4565">
        <w:rPr>
          <w:lang w:val="pt-BR"/>
        </w:rPr>
        <w:t>2</w:t>
      </w:r>
      <w:r w:rsidR="0040430A" w:rsidRPr="002F4565">
        <w:rPr>
          <w:lang w:val="pt-BR"/>
        </w:rPr>
        <w:t>,</w:t>
      </w:r>
      <w:r w:rsidRPr="002F4565">
        <w:rPr>
          <w:lang w:val="pt-BR"/>
        </w:rPr>
        <w:t xml:space="preserve">7 </w:t>
      </w:r>
      <w:r w:rsidR="006A31E1" w:rsidRPr="002F4565">
        <w:rPr>
          <w:lang w:val="pt-BR"/>
        </w:rPr>
        <w:t>milhões</w:t>
      </w:r>
      <w:r w:rsidRPr="002F4565">
        <w:rPr>
          <w:lang w:val="pt-BR"/>
        </w:rPr>
        <w:t xml:space="preserve"> </w:t>
      </w:r>
      <w:r w:rsidR="0040430A" w:rsidRPr="002F4565">
        <w:rPr>
          <w:lang w:val="pt-BR"/>
        </w:rPr>
        <w:t>de óbitos</w:t>
      </w:r>
      <w:r w:rsidRPr="002F4565">
        <w:rPr>
          <w:lang w:val="pt-BR"/>
        </w:rPr>
        <w:t xml:space="preserve"> </w:t>
      </w:r>
      <w:proofErr w:type="gramStart"/>
      <w:r w:rsidRPr="002F4565">
        <w:rPr>
          <w:lang w:val="pt-BR"/>
        </w:rPr>
        <w:t>anual</w:t>
      </w:r>
      <w:r w:rsidR="0040430A" w:rsidRPr="002F4565">
        <w:rPr>
          <w:lang w:val="pt-BR"/>
        </w:rPr>
        <w:t>mente</w:t>
      </w:r>
      <w:r w:rsidRPr="002F4565">
        <w:rPr>
          <w:lang w:val="pt-BR"/>
        </w:rPr>
        <w:t>.</w:t>
      </w:r>
      <w:proofErr w:type="gramEnd"/>
      <w:r w:rsidRPr="002F4565">
        <w:rPr>
          <w:vertAlign w:val="superscript"/>
          <w:lang w:val="pt-BR"/>
        </w:rPr>
        <w:t>4</w:t>
      </w:r>
      <w:r w:rsidRPr="002F4565">
        <w:rPr>
          <w:lang w:val="pt-BR"/>
        </w:rPr>
        <w:t xml:space="preserve"> </w:t>
      </w:r>
    </w:p>
    <w:p w:rsidR="00115B91" w:rsidRPr="002F4565" w:rsidRDefault="0040430A" w:rsidP="0051636A">
      <w:pPr>
        <w:spacing w:before="120" w:after="0" w:line="240" w:lineRule="auto"/>
        <w:rPr>
          <w:lang w:val="pt-BR"/>
        </w:rPr>
      </w:pPr>
      <w:r w:rsidRPr="002F4565">
        <w:rPr>
          <w:lang w:val="pt-BR"/>
        </w:rPr>
        <w:t xml:space="preserve">Os países de baixa renda e renda média </w:t>
      </w:r>
      <w:r w:rsidR="00BC3868" w:rsidRPr="002F4565">
        <w:rPr>
          <w:lang w:val="pt-BR"/>
        </w:rPr>
        <w:t xml:space="preserve">arcam com </w:t>
      </w:r>
      <w:r w:rsidRPr="002F4565">
        <w:rPr>
          <w:lang w:val="pt-BR"/>
        </w:rPr>
        <w:t xml:space="preserve">um ônus maior de </w:t>
      </w:r>
      <w:r w:rsidR="00115B91" w:rsidRPr="002F4565">
        <w:rPr>
          <w:lang w:val="pt-BR"/>
        </w:rPr>
        <w:t>mort</w:t>
      </w:r>
      <w:r w:rsidRPr="002F4565">
        <w:rPr>
          <w:lang w:val="pt-BR"/>
        </w:rPr>
        <w:t>alidade por DNT</w:t>
      </w:r>
      <w:r w:rsidR="00BC3868" w:rsidRPr="002F4565">
        <w:rPr>
          <w:lang w:val="pt-BR"/>
        </w:rPr>
        <w:t>s</w:t>
      </w:r>
      <w:r w:rsidR="00115B91" w:rsidRPr="002F4565">
        <w:rPr>
          <w:lang w:val="pt-BR"/>
        </w:rPr>
        <w:t xml:space="preserve">, </w:t>
      </w:r>
      <w:r w:rsidR="00BC3868" w:rsidRPr="002F4565">
        <w:rPr>
          <w:lang w:val="pt-BR"/>
        </w:rPr>
        <w:t xml:space="preserve">sendo </w:t>
      </w:r>
      <w:r w:rsidR="00115B91" w:rsidRPr="002F4565">
        <w:rPr>
          <w:lang w:val="pt-BR"/>
        </w:rPr>
        <w:t>80</w:t>
      </w:r>
      <w:r w:rsidRPr="002F4565">
        <w:rPr>
          <w:lang w:val="pt-BR"/>
        </w:rPr>
        <w:t>%</w:t>
      </w:r>
      <w:r w:rsidR="00115B91" w:rsidRPr="002F4565">
        <w:rPr>
          <w:lang w:val="pt-BR"/>
        </w:rPr>
        <w:t xml:space="preserve"> </w:t>
      </w:r>
      <w:r w:rsidR="0049090C" w:rsidRPr="002F4565">
        <w:rPr>
          <w:lang w:val="pt-BR"/>
        </w:rPr>
        <w:t>de</w:t>
      </w:r>
      <w:r w:rsidR="00115B91" w:rsidRPr="002F4565">
        <w:rPr>
          <w:lang w:val="pt-BR"/>
        </w:rPr>
        <w:t xml:space="preserve"> </w:t>
      </w:r>
      <w:r w:rsidRPr="002F4565">
        <w:rPr>
          <w:lang w:val="pt-BR"/>
        </w:rPr>
        <w:t>todos os óbitos</w:t>
      </w:r>
      <w:r w:rsidR="00115B91" w:rsidRPr="002F4565">
        <w:rPr>
          <w:lang w:val="pt-BR"/>
        </w:rPr>
        <w:t xml:space="preserve"> </w:t>
      </w:r>
      <w:r w:rsidR="00BC3868" w:rsidRPr="002F4565">
        <w:rPr>
          <w:lang w:val="pt-BR"/>
        </w:rPr>
        <w:t xml:space="preserve">por </w:t>
      </w:r>
      <w:proofErr w:type="gramStart"/>
      <w:r w:rsidRPr="002F4565">
        <w:rPr>
          <w:lang w:val="pt-BR"/>
        </w:rPr>
        <w:t>DNT</w:t>
      </w:r>
      <w:r w:rsidR="00115B91" w:rsidRPr="002F4565">
        <w:rPr>
          <w:lang w:val="pt-BR"/>
        </w:rPr>
        <w:t>.</w:t>
      </w:r>
      <w:proofErr w:type="gramEnd"/>
      <w:r w:rsidR="00115B91" w:rsidRPr="002F4565">
        <w:rPr>
          <w:vertAlign w:val="superscript"/>
          <w:lang w:val="pt-BR"/>
        </w:rPr>
        <w:t>5</w:t>
      </w:r>
      <w:r w:rsidR="00115B91" w:rsidRPr="002F4565">
        <w:rPr>
          <w:lang w:val="pt-BR"/>
        </w:rPr>
        <w:t xml:space="preserve"> </w:t>
      </w:r>
      <w:r w:rsidRPr="002F4565">
        <w:rPr>
          <w:lang w:val="pt-BR"/>
        </w:rPr>
        <w:t xml:space="preserve">Dietas não saudáveis estão </w:t>
      </w:r>
      <w:r w:rsidR="00F21F55" w:rsidRPr="002F4565">
        <w:rPr>
          <w:lang w:val="pt-BR"/>
        </w:rPr>
        <w:t>também</w:t>
      </w:r>
      <w:r w:rsidR="00115B91" w:rsidRPr="002F4565">
        <w:rPr>
          <w:lang w:val="pt-BR"/>
        </w:rPr>
        <w:t xml:space="preserve"> </w:t>
      </w:r>
      <w:r w:rsidRPr="002F4565">
        <w:rPr>
          <w:lang w:val="pt-BR"/>
        </w:rPr>
        <w:t>vinculadas a altas taxas</w:t>
      </w:r>
      <w:r w:rsidR="00115B91" w:rsidRPr="002F4565">
        <w:rPr>
          <w:lang w:val="pt-BR"/>
        </w:rPr>
        <w:t xml:space="preserve"> </w:t>
      </w:r>
      <w:r w:rsidR="0049090C" w:rsidRPr="002F4565">
        <w:rPr>
          <w:lang w:val="pt-BR"/>
        </w:rPr>
        <w:t>de</w:t>
      </w:r>
      <w:r w:rsidR="00115B91" w:rsidRPr="002F4565">
        <w:rPr>
          <w:lang w:val="pt-BR"/>
        </w:rPr>
        <w:t xml:space="preserve"> </w:t>
      </w:r>
      <w:r w:rsidRPr="002F4565">
        <w:rPr>
          <w:lang w:val="pt-BR"/>
        </w:rPr>
        <w:t>obesidade</w:t>
      </w:r>
      <w:r w:rsidR="00115B91" w:rsidRPr="002F4565">
        <w:rPr>
          <w:lang w:val="pt-BR"/>
        </w:rPr>
        <w:t xml:space="preserve">, </w:t>
      </w:r>
      <w:r w:rsidR="006A31E1" w:rsidRPr="002F4565">
        <w:rPr>
          <w:lang w:val="pt-BR"/>
        </w:rPr>
        <w:t>crescente</w:t>
      </w:r>
      <w:r w:rsidR="00115B91" w:rsidRPr="002F4565">
        <w:rPr>
          <w:lang w:val="pt-BR"/>
        </w:rPr>
        <w:t xml:space="preserve"> </w:t>
      </w:r>
      <w:r w:rsidRPr="002F4565">
        <w:rPr>
          <w:lang w:val="pt-BR"/>
        </w:rPr>
        <w:t xml:space="preserve">epidemia </w:t>
      </w:r>
      <w:r w:rsidR="00115B91" w:rsidRPr="002F4565">
        <w:rPr>
          <w:lang w:val="pt-BR"/>
        </w:rPr>
        <w:t xml:space="preserve">global </w:t>
      </w:r>
      <w:r w:rsidR="006A31E1" w:rsidRPr="002F4565">
        <w:rPr>
          <w:lang w:val="pt-BR"/>
        </w:rPr>
        <w:t>que</w:t>
      </w:r>
      <w:r w:rsidR="00115B91" w:rsidRPr="002F4565">
        <w:rPr>
          <w:lang w:val="pt-BR"/>
        </w:rPr>
        <w:t xml:space="preserve"> </w:t>
      </w:r>
      <w:r w:rsidRPr="002F4565">
        <w:rPr>
          <w:lang w:val="pt-BR"/>
        </w:rPr>
        <w:t xml:space="preserve">mata cerca de </w:t>
      </w:r>
      <w:r w:rsidR="00115B91" w:rsidRPr="002F4565">
        <w:rPr>
          <w:lang w:val="pt-BR"/>
        </w:rPr>
        <w:t>2</w:t>
      </w:r>
      <w:r w:rsidRPr="002F4565">
        <w:rPr>
          <w:lang w:val="pt-BR"/>
        </w:rPr>
        <w:t>,</w:t>
      </w:r>
      <w:r w:rsidR="00115B91" w:rsidRPr="002F4565">
        <w:rPr>
          <w:lang w:val="pt-BR"/>
        </w:rPr>
        <w:t xml:space="preserve">8 </w:t>
      </w:r>
      <w:r w:rsidR="006A31E1" w:rsidRPr="002F4565">
        <w:rPr>
          <w:lang w:val="pt-BR"/>
        </w:rPr>
        <w:t>milhões</w:t>
      </w:r>
      <w:r w:rsidR="00115B91" w:rsidRPr="002F4565">
        <w:rPr>
          <w:lang w:val="pt-BR"/>
        </w:rPr>
        <w:t xml:space="preserve"> </w:t>
      </w:r>
      <w:r w:rsidR="006A31E1" w:rsidRPr="002F4565">
        <w:rPr>
          <w:lang w:val="pt-BR"/>
        </w:rPr>
        <w:t>pessoas</w:t>
      </w:r>
      <w:r w:rsidR="00115B91" w:rsidRPr="002F4565">
        <w:rPr>
          <w:lang w:val="pt-BR"/>
        </w:rPr>
        <w:t xml:space="preserve"> </w:t>
      </w:r>
      <w:r w:rsidRPr="002F4565">
        <w:rPr>
          <w:lang w:val="pt-BR"/>
        </w:rPr>
        <w:t>por ano</w:t>
      </w:r>
      <w:r w:rsidR="00BC3868" w:rsidRPr="002F4565">
        <w:rPr>
          <w:lang w:val="pt-BR"/>
        </w:rPr>
        <w:t xml:space="preserve">, sendo </w:t>
      </w:r>
      <w:r w:rsidRPr="002F4565">
        <w:rPr>
          <w:lang w:val="pt-BR"/>
        </w:rPr>
        <w:t>um fator de risco conhecido d</w:t>
      </w:r>
      <w:r w:rsidR="00BC3868" w:rsidRPr="002F4565">
        <w:rPr>
          <w:lang w:val="pt-BR"/>
        </w:rPr>
        <w:t>as</w:t>
      </w:r>
      <w:r w:rsidRPr="002F4565">
        <w:rPr>
          <w:lang w:val="pt-BR"/>
        </w:rPr>
        <w:t xml:space="preserve"> </w:t>
      </w:r>
      <w:r w:rsidR="0049090C" w:rsidRPr="002F4565">
        <w:rPr>
          <w:lang w:val="pt-BR"/>
        </w:rPr>
        <w:t>DNT</w:t>
      </w:r>
      <w:r w:rsidR="00115B91" w:rsidRPr="002F4565">
        <w:rPr>
          <w:lang w:val="pt-BR"/>
        </w:rPr>
        <w:t>s.</w:t>
      </w:r>
      <w:r w:rsidR="00115B91" w:rsidRPr="002F4565">
        <w:rPr>
          <w:vertAlign w:val="superscript"/>
          <w:lang w:val="pt-BR"/>
        </w:rPr>
        <w:t>6</w:t>
      </w:r>
      <w:r w:rsidR="00115B91" w:rsidRPr="002F4565">
        <w:rPr>
          <w:lang w:val="pt-BR"/>
        </w:rPr>
        <w:t xml:space="preserve"> </w:t>
      </w:r>
    </w:p>
    <w:p w:rsidR="0040430A" w:rsidRPr="002F4565" w:rsidRDefault="00115B91" w:rsidP="0051636A">
      <w:pPr>
        <w:spacing w:before="120" w:after="0" w:line="240" w:lineRule="auto"/>
        <w:rPr>
          <w:lang w:val="pt-BR"/>
        </w:rPr>
      </w:pPr>
      <w:r w:rsidRPr="002F4565">
        <w:rPr>
          <w:lang w:val="pt-BR"/>
        </w:rPr>
        <w:t xml:space="preserve">3. </w:t>
      </w:r>
      <w:r w:rsidR="0040430A" w:rsidRPr="002F4565">
        <w:rPr>
          <w:lang w:val="pt-BR"/>
        </w:rPr>
        <w:t>As dietas</w:t>
      </w:r>
      <w:r w:rsidRPr="002F4565">
        <w:rPr>
          <w:lang w:val="pt-BR"/>
        </w:rPr>
        <w:t xml:space="preserve"> </w:t>
      </w:r>
      <w:r w:rsidR="0040430A" w:rsidRPr="002F4565">
        <w:rPr>
          <w:lang w:val="pt-BR"/>
        </w:rPr>
        <w:t xml:space="preserve">com alta ingestão </w:t>
      </w:r>
      <w:r w:rsidR="0049090C" w:rsidRPr="002F4565">
        <w:rPr>
          <w:lang w:val="pt-BR"/>
        </w:rPr>
        <w:t>de</w:t>
      </w:r>
      <w:r w:rsidRPr="002F4565">
        <w:rPr>
          <w:lang w:val="pt-BR"/>
        </w:rPr>
        <w:t xml:space="preserve"> </w:t>
      </w:r>
      <w:r w:rsidR="00261A8A" w:rsidRPr="002F4565">
        <w:rPr>
          <w:lang w:val="pt-BR"/>
        </w:rPr>
        <w:t>alimentos</w:t>
      </w:r>
      <w:r w:rsidRPr="002F4565">
        <w:rPr>
          <w:lang w:val="pt-BR"/>
        </w:rPr>
        <w:t xml:space="preserve"> </w:t>
      </w:r>
      <w:r w:rsidR="0040430A" w:rsidRPr="002F4565">
        <w:rPr>
          <w:lang w:val="pt-BR"/>
        </w:rPr>
        <w:t>como ham</w:t>
      </w:r>
      <w:r w:rsidRPr="002F4565">
        <w:rPr>
          <w:lang w:val="pt-BR"/>
        </w:rPr>
        <w:t>b</w:t>
      </w:r>
      <w:r w:rsidR="0040430A" w:rsidRPr="002F4565">
        <w:rPr>
          <w:lang w:val="pt-BR"/>
        </w:rPr>
        <w:t>ú</w:t>
      </w:r>
      <w:r w:rsidRPr="002F4565">
        <w:rPr>
          <w:lang w:val="pt-BR"/>
        </w:rPr>
        <w:t>rg</w:t>
      </w:r>
      <w:r w:rsidR="0040430A" w:rsidRPr="002F4565">
        <w:rPr>
          <w:lang w:val="pt-BR"/>
        </w:rPr>
        <w:t>u</w:t>
      </w:r>
      <w:r w:rsidRPr="002F4565">
        <w:rPr>
          <w:lang w:val="pt-BR"/>
        </w:rPr>
        <w:t>er</w:t>
      </w:r>
      <w:r w:rsidR="0040430A" w:rsidRPr="002F4565">
        <w:rPr>
          <w:lang w:val="pt-BR"/>
        </w:rPr>
        <w:t>e</w:t>
      </w:r>
      <w:r w:rsidRPr="002F4565">
        <w:rPr>
          <w:lang w:val="pt-BR"/>
        </w:rPr>
        <w:t xml:space="preserve">s, pizzas, </w:t>
      </w:r>
      <w:r w:rsidR="0040430A" w:rsidRPr="002F4565">
        <w:rPr>
          <w:lang w:val="pt-BR"/>
        </w:rPr>
        <w:t>carnes vermelhas</w:t>
      </w:r>
      <w:r w:rsidRPr="002F4565">
        <w:rPr>
          <w:lang w:val="pt-BR"/>
        </w:rPr>
        <w:t xml:space="preserve">, </w:t>
      </w:r>
      <w:r w:rsidR="0040430A" w:rsidRPr="002F4565">
        <w:rPr>
          <w:lang w:val="pt-BR"/>
        </w:rPr>
        <w:t>bolachas</w:t>
      </w:r>
      <w:r w:rsidRPr="002F4565">
        <w:rPr>
          <w:lang w:val="pt-BR"/>
        </w:rPr>
        <w:t>, bisc</w:t>
      </w:r>
      <w:r w:rsidR="0040430A" w:rsidRPr="002F4565">
        <w:rPr>
          <w:lang w:val="pt-BR"/>
        </w:rPr>
        <w:t>oitos</w:t>
      </w:r>
      <w:r w:rsidRPr="002F4565">
        <w:rPr>
          <w:lang w:val="pt-BR"/>
        </w:rPr>
        <w:t xml:space="preserve">, </w:t>
      </w:r>
      <w:r w:rsidR="0040430A" w:rsidRPr="002F4565">
        <w:rPr>
          <w:lang w:val="pt-BR"/>
        </w:rPr>
        <w:t>salgadinhos</w:t>
      </w:r>
      <w:r w:rsidRPr="002F4565">
        <w:rPr>
          <w:lang w:val="pt-BR"/>
        </w:rPr>
        <w:t xml:space="preserve">, </w:t>
      </w:r>
      <w:r w:rsidR="0040430A" w:rsidRPr="002F4565">
        <w:rPr>
          <w:lang w:val="pt-BR"/>
        </w:rPr>
        <w:t xml:space="preserve">bebidas açucaradas </w:t>
      </w:r>
      <w:r w:rsidR="006A31E1" w:rsidRPr="002F4565">
        <w:rPr>
          <w:lang w:val="pt-BR"/>
        </w:rPr>
        <w:t>que</w:t>
      </w:r>
      <w:r w:rsidRPr="002F4565">
        <w:rPr>
          <w:lang w:val="pt-BR"/>
        </w:rPr>
        <w:t xml:space="preserve"> cont</w:t>
      </w:r>
      <w:r w:rsidR="0040430A" w:rsidRPr="002F4565">
        <w:rPr>
          <w:lang w:val="pt-BR"/>
        </w:rPr>
        <w:t>êm altos níveis</w:t>
      </w:r>
      <w:r w:rsidRPr="002F4565">
        <w:rPr>
          <w:lang w:val="pt-BR"/>
        </w:rPr>
        <w:t xml:space="preserve"> </w:t>
      </w:r>
      <w:r w:rsidR="0049090C" w:rsidRPr="002F4565">
        <w:rPr>
          <w:lang w:val="pt-BR"/>
        </w:rPr>
        <w:t>de</w:t>
      </w:r>
      <w:r w:rsidRPr="002F4565">
        <w:rPr>
          <w:lang w:val="pt-BR"/>
        </w:rPr>
        <w:t xml:space="preserve"> </w:t>
      </w:r>
      <w:r w:rsidR="0040430A" w:rsidRPr="002F4565">
        <w:rPr>
          <w:lang w:val="pt-BR"/>
        </w:rPr>
        <w:t>açúcar</w:t>
      </w:r>
      <w:r w:rsidRPr="002F4565">
        <w:rPr>
          <w:lang w:val="pt-BR"/>
        </w:rPr>
        <w:t xml:space="preserve">, sal, </w:t>
      </w:r>
      <w:r w:rsidR="0040430A" w:rsidRPr="002F4565">
        <w:rPr>
          <w:lang w:val="pt-BR"/>
        </w:rPr>
        <w:t xml:space="preserve">gorduras </w:t>
      </w:r>
      <w:r w:rsidRPr="002F4565">
        <w:rPr>
          <w:i/>
          <w:lang w:val="pt-BR"/>
        </w:rPr>
        <w:t>trans</w:t>
      </w:r>
      <w:r w:rsidRPr="002F4565">
        <w:rPr>
          <w:lang w:val="pt-BR"/>
        </w:rPr>
        <w:t xml:space="preserve"> </w:t>
      </w:r>
      <w:r w:rsidR="0049090C" w:rsidRPr="002F4565">
        <w:rPr>
          <w:lang w:val="pt-BR"/>
        </w:rPr>
        <w:t>e</w:t>
      </w:r>
      <w:r w:rsidRPr="002F4565">
        <w:rPr>
          <w:lang w:val="pt-BR"/>
        </w:rPr>
        <w:t xml:space="preserve"> </w:t>
      </w:r>
      <w:r w:rsidR="0040430A" w:rsidRPr="002F4565">
        <w:rPr>
          <w:lang w:val="pt-BR"/>
        </w:rPr>
        <w:t>gorduras</w:t>
      </w:r>
      <w:r w:rsidRPr="002F4565">
        <w:rPr>
          <w:lang w:val="pt-BR"/>
        </w:rPr>
        <w:t xml:space="preserve"> </w:t>
      </w:r>
      <w:r w:rsidR="0040430A" w:rsidRPr="002F4565">
        <w:rPr>
          <w:lang w:val="pt-BR"/>
        </w:rPr>
        <w:t>saturadas são</w:t>
      </w:r>
      <w:r w:rsidRPr="002F4565">
        <w:rPr>
          <w:lang w:val="pt-BR"/>
        </w:rPr>
        <w:t xml:space="preserve"> </w:t>
      </w:r>
      <w:r w:rsidR="0040430A" w:rsidRPr="002F4565">
        <w:rPr>
          <w:lang w:val="pt-BR"/>
        </w:rPr>
        <w:t xml:space="preserve">conhecidas por </w:t>
      </w:r>
      <w:r w:rsidR="00BC3868" w:rsidRPr="002F4565">
        <w:rPr>
          <w:lang w:val="pt-BR"/>
        </w:rPr>
        <w:t xml:space="preserve">acarretar </w:t>
      </w:r>
      <w:r w:rsidR="006A31E1" w:rsidRPr="002F4565">
        <w:rPr>
          <w:lang w:val="pt-BR"/>
        </w:rPr>
        <w:t>risco</w:t>
      </w:r>
      <w:r w:rsidRPr="002F4565">
        <w:rPr>
          <w:lang w:val="pt-BR"/>
        </w:rPr>
        <w:t xml:space="preserve"> </w:t>
      </w:r>
      <w:r w:rsidR="0040430A" w:rsidRPr="002F4565">
        <w:rPr>
          <w:lang w:val="pt-BR"/>
        </w:rPr>
        <w:t>maior de obesidade</w:t>
      </w:r>
      <w:r w:rsidRPr="002F4565">
        <w:rPr>
          <w:lang w:val="pt-BR"/>
        </w:rPr>
        <w:t xml:space="preserve"> </w:t>
      </w:r>
      <w:r w:rsidR="0049090C" w:rsidRPr="002F4565">
        <w:rPr>
          <w:lang w:val="pt-BR"/>
        </w:rPr>
        <w:t>e</w:t>
      </w:r>
      <w:r w:rsidRPr="002F4565">
        <w:rPr>
          <w:lang w:val="pt-BR"/>
        </w:rPr>
        <w:t xml:space="preserve"> </w:t>
      </w:r>
      <w:proofErr w:type="gramStart"/>
      <w:r w:rsidR="0049090C" w:rsidRPr="002F4565">
        <w:rPr>
          <w:lang w:val="pt-BR"/>
        </w:rPr>
        <w:t>DNT</w:t>
      </w:r>
      <w:r w:rsidRPr="002F4565">
        <w:rPr>
          <w:lang w:val="pt-BR"/>
        </w:rPr>
        <w:t>s.</w:t>
      </w:r>
      <w:proofErr w:type="gramEnd"/>
      <w:r w:rsidRPr="002F4565">
        <w:rPr>
          <w:vertAlign w:val="superscript"/>
          <w:lang w:val="pt-BR"/>
        </w:rPr>
        <w:t>7</w:t>
      </w:r>
    </w:p>
    <w:p w:rsidR="00115B91" w:rsidRPr="002F4565" w:rsidRDefault="0040430A" w:rsidP="0051636A">
      <w:pPr>
        <w:spacing w:before="120" w:after="0" w:line="240" w:lineRule="auto"/>
        <w:rPr>
          <w:lang w:val="pt-BR"/>
        </w:rPr>
      </w:pPr>
      <w:r w:rsidRPr="002F4565">
        <w:rPr>
          <w:lang w:val="pt-BR"/>
        </w:rPr>
        <w:t xml:space="preserve">Muitos destes </w:t>
      </w:r>
      <w:r w:rsidR="00261A8A" w:rsidRPr="002F4565">
        <w:rPr>
          <w:lang w:val="pt-BR"/>
        </w:rPr>
        <w:t>alimentos</w:t>
      </w:r>
      <w:r w:rsidR="00115B91" w:rsidRPr="002F4565">
        <w:rPr>
          <w:lang w:val="pt-BR"/>
        </w:rPr>
        <w:t xml:space="preserve"> </w:t>
      </w:r>
      <w:r w:rsidRPr="002F4565">
        <w:rPr>
          <w:lang w:val="pt-BR"/>
        </w:rPr>
        <w:t xml:space="preserve">são </w:t>
      </w:r>
      <w:r w:rsidR="007D3BE3" w:rsidRPr="002F4565">
        <w:rPr>
          <w:lang w:val="pt-BR"/>
        </w:rPr>
        <w:t xml:space="preserve">altamente </w:t>
      </w:r>
      <w:proofErr w:type="gramStart"/>
      <w:r w:rsidR="007D3BE3" w:rsidRPr="002F4565">
        <w:rPr>
          <w:lang w:val="pt-BR"/>
        </w:rPr>
        <w:t>processados</w:t>
      </w:r>
      <w:r w:rsidR="00115B91" w:rsidRPr="002F4565">
        <w:rPr>
          <w:lang w:val="pt-BR"/>
        </w:rPr>
        <w:t>,</w:t>
      </w:r>
      <w:proofErr w:type="gramEnd"/>
      <w:r w:rsidR="00115B91" w:rsidRPr="002F4565">
        <w:rPr>
          <w:vertAlign w:val="superscript"/>
          <w:lang w:val="pt-BR"/>
        </w:rPr>
        <w:t>8</w:t>
      </w:r>
      <w:r w:rsidR="00115B91" w:rsidRPr="002F4565">
        <w:rPr>
          <w:lang w:val="pt-BR"/>
        </w:rPr>
        <w:t xml:space="preserve"> </w:t>
      </w:r>
      <w:r w:rsidRPr="002F4565">
        <w:rPr>
          <w:lang w:val="pt-BR"/>
        </w:rPr>
        <w:t>prontos para comer</w:t>
      </w:r>
      <w:r w:rsidR="00BC3868" w:rsidRPr="002F4565">
        <w:rPr>
          <w:lang w:val="pt-BR"/>
        </w:rPr>
        <w:t>,</w:t>
      </w:r>
      <w:r w:rsidRPr="002F4565">
        <w:rPr>
          <w:lang w:val="pt-BR"/>
        </w:rPr>
        <w:t xml:space="preserve"> mas</w:t>
      </w:r>
      <w:r w:rsidR="00115B91" w:rsidRPr="002F4565">
        <w:rPr>
          <w:lang w:val="pt-BR"/>
        </w:rPr>
        <w:t xml:space="preserve"> </w:t>
      </w:r>
      <w:r w:rsidRPr="002F4565">
        <w:rPr>
          <w:lang w:val="pt-BR"/>
        </w:rPr>
        <w:t xml:space="preserve">densos em energia </w:t>
      </w:r>
      <w:r w:rsidR="0049090C" w:rsidRPr="002F4565">
        <w:rPr>
          <w:lang w:val="pt-BR"/>
        </w:rPr>
        <w:t>e</w:t>
      </w:r>
      <w:r w:rsidR="00115B91" w:rsidRPr="002F4565">
        <w:rPr>
          <w:lang w:val="pt-BR"/>
        </w:rPr>
        <w:t xml:space="preserve"> </w:t>
      </w:r>
      <w:r w:rsidRPr="002F4565">
        <w:rPr>
          <w:lang w:val="pt-BR"/>
        </w:rPr>
        <w:t>contendo calorias vazias sem valor nutricional</w:t>
      </w:r>
      <w:r w:rsidR="00115B91" w:rsidRPr="002F4565">
        <w:rPr>
          <w:lang w:val="pt-BR"/>
        </w:rPr>
        <w:t xml:space="preserve">. </w:t>
      </w:r>
      <w:r w:rsidRPr="002F4565">
        <w:rPr>
          <w:lang w:val="pt-BR"/>
        </w:rPr>
        <w:t>Alimentos não saudáveis</w:t>
      </w:r>
      <w:r w:rsidR="00115B91" w:rsidRPr="002F4565">
        <w:rPr>
          <w:lang w:val="pt-BR"/>
        </w:rPr>
        <w:t xml:space="preserve"> consum</w:t>
      </w:r>
      <w:r w:rsidRPr="002F4565">
        <w:rPr>
          <w:lang w:val="pt-BR"/>
        </w:rPr>
        <w:t xml:space="preserve">idos em pequenas quantidades </w:t>
      </w:r>
      <w:r w:rsidR="0049090C" w:rsidRPr="002F4565">
        <w:rPr>
          <w:lang w:val="pt-BR"/>
        </w:rPr>
        <w:t>e</w:t>
      </w:r>
      <w:r w:rsidR="00115B91" w:rsidRPr="002F4565">
        <w:rPr>
          <w:lang w:val="pt-BR"/>
        </w:rPr>
        <w:t xml:space="preserve"> </w:t>
      </w:r>
      <w:r w:rsidR="00FB4DE4" w:rsidRPr="002F4565">
        <w:rPr>
          <w:lang w:val="pt-BR"/>
        </w:rPr>
        <w:t xml:space="preserve">adicionados a fontes </w:t>
      </w:r>
      <w:r w:rsidR="00F21F55" w:rsidRPr="002F4565">
        <w:rPr>
          <w:lang w:val="pt-BR"/>
        </w:rPr>
        <w:t>mais saudáveis</w:t>
      </w:r>
      <w:r w:rsidR="00115B91" w:rsidRPr="002F4565">
        <w:rPr>
          <w:lang w:val="pt-BR"/>
        </w:rPr>
        <w:t xml:space="preserve"> </w:t>
      </w:r>
      <w:r w:rsidRPr="002F4565">
        <w:rPr>
          <w:lang w:val="pt-BR"/>
        </w:rPr>
        <w:t>são</w:t>
      </w:r>
      <w:r w:rsidR="00115B91" w:rsidRPr="002F4565">
        <w:rPr>
          <w:lang w:val="pt-BR"/>
        </w:rPr>
        <w:t xml:space="preserve"> </w:t>
      </w:r>
      <w:r w:rsidR="005A25F5" w:rsidRPr="002F4565">
        <w:rPr>
          <w:lang w:val="pt-BR"/>
        </w:rPr>
        <w:t>não</w:t>
      </w:r>
      <w:r w:rsidR="00115B91" w:rsidRPr="002F4565">
        <w:rPr>
          <w:lang w:val="pt-BR"/>
        </w:rPr>
        <w:t xml:space="preserve"> necessari</w:t>
      </w:r>
      <w:r w:rsidR="00FB4DE4" w:rsidRPr="002F4565">
        <w:rPr>
          <w:lang w:val="pt-BR"/>
        </w:rPr>
        <w:t xml:space="preserve">amente prejudiciais à </w:t>
      </w:r>
      <w:r w:rsidR="0049090C" w:rsidRPr="002F4565">
        <w:rPr>
          <w:lang w:val="pt-BR"/>
        </w:rPr>
        <w:t>saúde</w:t>
      </w:r>
      <w:r w:rsidR="00115B91" w:rsidRPr="002F4565">
        <w:rPr>
          <w:lang w:val="pt-BR"/>
        </w:rPr>
        <w:t xml:space="preserve">. </w:t>
      </w:r>
      <w:r w:rsidR="00FB4DE4" w:rsidRPr="002F4565">
        <w:rPr>
          <w:lang w:val="pt-BR"/>
        </w:rPr>
        <w:t>No entanto</w:t>
      </w:r>
      <w:r w:rsidR="00115B91" w:rsidRPr="002F4565">
        <w:rPr>
          <w:lang w:val="pt-BR"/>
        </w:rPr>
        <w:t xml:space="preserve">, </w:t>
      </w:r>
      <w:r w:rsidR="00FB4DE4" w:rsidRPr="002F4565">
        <w:rPr>
          <w:lang w:val="pt-BR"/>
        </w:rPr>
        <w:t xml:space="preserve">considerando-se sua alta </w:t>
      </w:r>
      <w:r w:rsidR="0049090C" w:rsidRPr="002F4565">
        <w:rPr>
          <w:lang w:val="pt-BR"/>
        </w:rPr>
        <w:t>disponibilidade</w:t>
      </w:r>
      <w:r w:rsidR="00115B91" w:rsidRPr="002F4565">
        <w:rPr>
          <w:lang w:val="pt-BR"/>
        </w:rPr>
        <w:t xml:space="preserve"> </w:t>
      </w:r>
      <w:r w:rsidR="0049090C" w:rsidRPr="002F4565">
        <w:rPr>
          <w:lang w:val="pt-BR"/>
        </w:rPr>
        <w:t>e</w:t>
      </w:r>
      <w:r w:rsidR="00115B91" w:rsidRPr="002F4565">
        <w:rPr>
          <w:lang w:val="pt-BR"/>
        </w:rPr>
        <w:t xml:space="preserve"> </w:t>
      </w:r>
      <w:r w:rsidR="00FB4DE4" w:rsidRPr="002F4565">
        <w:rPr>
          <w:lang w:val="pt-BR"/>
        </w:rPr>
        <w:t>gosto agradável</w:t>
      </w:r>
      <w:r w:rsidR="00115B91" w:rsidRPr="002F4565">
        <w:rPr>
          <w:lang w:val="pt-BR"/>
        </w:rPr>
        <w:t xml:space="preserve"> </w:t>
      </w:r>
      <w:r w:rsidR="0049090C" w:rsidRPr="002F4565">
        <w:rPr>
          <w:lang w:val="pt-BR"/>
        </w:rPr>
        <w:t>e</w:t>
      </w:r>
      <w:r w:rsidR="00115B91" w:rsidRPr="002F4565">
        <w:rPr>
          <w:lang w:val="pt-BR"/>
        </w:rPr>
        <w:t xml:space="preserve"> </w:t>
      </w:r>
      <w:r w:rsidR="00FB4DE4" w:rsidRPr="002F4565">
        <w:rPr>
          <w:lang w:val="pt-BR"/>
        </w:rPr>
        <w:t xml:space="preserve">devido </w:t>
      </w:r>
      <w:r w:rsidR="00BC3868" w:rsidRPr="002F4565">
        <w:rPr>
          <w:lang w:val="pt-BR"/>
        </w:rPr>
        <w:t>à publicidade</w:t>
      </w:r>
      <w:r w:rsidR="00FB4DE4" w:rsidRPr="002F4565">
        <w:rPr>
          <w:lang w:val="pt-BR"/>
        </w:rPr>
        <w:t xml:space="preserve"> agressiv</w:t>
      </w:r>
      <w:r w:rsidR="00BC3868" w:rsidRPr="002F4565">
        <w:rPr>
          <w:lang w:val="pt-BR"/>
        </w:rPr>
        <w:t>a</w:t>
      </w:r>
      <w:r w:rsidR="00115B91" w:rsidRPr="002F4565">
        <w:rPr>
          <w:lang w:val="pt-BR"/>
        </w:rPr>
        <w:t xml:space="preserve">, </w:t>
      </w:r>
      <w:r w:rsidR="00FB4DE4" w:rsidRPr="002F4565">
        <w:rPr>
          <w:lang w:val="pt-BR"/>
        </w:rPr>
        <w:t xml:space="preserve">substituíram </w:t>
      </w:r>
      <w:r w:rsidR="00BC3868" w:rsidRPr="002F4565">
        <w:rPr>
          <w:lang w:val="pt-BR"/>
        </w:rPr>
        <w:t xml:space="preserve">os </w:t>
      </w:r>
      <w:r w:rsidR="00261A8A" w:rsidRPr="002F4565">
        <w:rPr>
          <w:lang w:val="pt-BR"/>
        </w:rPr>
        <w:t>alimentos</w:t>
      </w:r>
      <w:r w:rsidR="00115B91" w:rsidRPr="002F4565">
        <w:rPr>
          <w:lang w:val="pt-BR"/>
        </w:rPr>
        <w:t xml:space="preserve"> </w:t>
      </w:r>
      <w:r w:rsidR="00FB4DE4" w:rsidRPr="002F4565">
        <w:rPr>
          <w:lang w:val="pt-BR"/>
        </w:rPr>
        <w:t xml:space="preserve">mais saudáveis nas </w:t>
      </w:r>
      <w:proofErr w:type="gramStart"/>
      <w:r w:rsidRPr="002F4565">
        <w:rPr>
          <w:lang w:val="pt-BR"/>
        </w:rPr>
        <w:t>dietas</w:t>
      </w:r>
      <w:r w:rsidR="00115B91" w:rsidRPr="002F4565">
        <w:rPr>
          <w:lang w:val="pt-BR"/>
        </w:rPr>
        <w:t>.</w:t>
      </w:r>
      <w:proofErr w:type="gramEnd"/>
      <w:r w:rsidR="00115B91" w:rsidRPr="002F4565">
        <w:rPr>
          <w:vertAlign w:val="superscript"/>
          <w:lang w:val="pt-BR"/>
        </w:rPr>
        <w:t>9</w:t>
      </w:r>
      <w:r w:rsidR="00115B91" w:rsidRPr="002F4565">
        <w:rPr>
          <w:lang w:val="pt-BR"/>
        </w:rPr>
        <w:t xml:space="preserve"> </w:t>
      </w:r>
    </w:p>
    <w:p w:rsidR="00115B91" w:rsidRPr="002F4565" w:rsidRDefault="006A31E1" w:rsidP="0051636A">
      <w:pPr>
        <w:spacing w:before="120" w:after="0" w:line="240" w:lineRule="auto"/>
        <w:rPr>
          <w:lang w:val="pt-BR"/>
        </w:rPr>
      </w:pPr>
      <w:r w:rsidRPr="002F4565">
        <w:rPr>
          <w:lang w:val="pt-BR"/>
        </w:rPr>
        <w:t>Esta</w:t>
      </w:r>
      <w:r w:rsidR="00115B91" w:rsidRPr="002F4565">
        <w:rPr>
          <w:lang w:val="pt-BR"/>
        </w:rPr>
        <w:t xml:space="preserve"> </w:t>
      </w:r>
      <w:r w:rsidR="005A25F5" w:rsidRPr="002F4565">
        <w:rPr>
          <w:lang w:val="pt-BR"/>
        </w:rPr>
        <w:t>é</w:t>
      </w:r>
      <w:r w:rsidR="00115B91" w:rsidRPr="002F4565">
        <w:rPr>
          <w:lang w:val="pt-BR"/>
        </w:rPr>
        <w:t xml:space="preserve"> </w:t>
      </w:r>
      <w:r w:rsidR="00FB4DE4" w:rsidRPr="002F4565">
        <w:rPr>
          <w:lang w:val="pt-BR"/>
        </w:rPr>
        <w:t>um</w:t>
      </w:r>
      <w:r w:rsidR="00115B91" w:rsidRPr="002F4565">
        <w:rPr>
          <w:lang w:val="pt-BR"/>
        </w:rPr>
        <w:t xml:space="preserve">a </w:t>
      </w:r>
      <w:r w:rsidR="00FB4DE4" w:rsidRPr="002F4565">
        <w:rPr>
          <w:lang w:val="pt-BR"/>
        </w:rPr>
        <w:t xml:space="preserve">tendência </w:t>
      </w:r>
      <w:r w:rsidR="00115B91" w:rsidRPr="002F4565">
        <w:rPr>
          <w:lang w:val="pt-BR"/>
        </w:rPr>
        <w:t>particular</w:t>
      </w:r>
      <w:r w:rsidR="00FB4DE4" w:rsidRPr="002F4565">
        <w:rPr>
          <w:lang w:val="pt-BR"/>
        </w:rPr>
        <w:t xml:space="preserve">mente preocupante para os países de baixa renda </w:t>
      </w:r>
      <w:r w:rsidR="0049090C" w:rsidRPr="002F4565">
        <w:rPr>
          <w:lang w:val="pt-BR"/>
        </w:rPr>
        <w:t>e</w:t>
      </w:r>
      <w:r w:rsidR="00115B91" w:rsidRPr="002F4565">
        <w:rPr>
          <w:lang w:val="pt-BR"/>
        </w:rPr>
        <w:t xml:space="preserve"> </w:t>
      </w:r>
      <w:r w:rsidR="00FB4DE4" w:rsidRPr="002F4565">
        <w:rPr>
          <w:lang w:val="pt-BR"/>
        </w:rPr>
        <w:t>renda média</w:t>
      </w:r>
      <w:r w:rsidR="00115B91" w:rsidRPr="002F4565">
        <w:rPr>
          <w:lang w:val="pt-BR"/>
        </w:rPr>
        <w:t xml:space="preserve">, </w:t>
      </w:r>
      <w:r w:rsidR="00FB4DE4" w:rsidRPr="002F4565">
        <w:rPr>
          <w:lang w:val="pt-BR"/>
        </w:rPr>
        <w:t xml:space="preserve">na medida em que se projeta que a taxa </w:t>
      </w:r>
      <w:r w:rsidR="0049090C" w:rsidRPr="002F4565">
        <w:rPr>
          <w:lang w:val="pt-BR"/>
        </w:rPr>
        <w:t>de</w:t>
      </w:r>
      <w:r w:rsidR="00115B91" w:rsidRPr="002F4565">
        <w:rPr>
          <w:lang w:val="pt-BR"/>
        </w:rPr>
        <w:t xml:space="preserve"> </w:t>
      </w:r>
      <w:r w:rsidR="0049090C" w:rsidRPr="002F4565">
        <w:rPr>
          <w:lang w:val="pt-BR"/>
        </w:rPr>
        <w:t>consumo</w:t>
      </w:r>
      <w:r w:rsidR="00115B91" w:rsidRPr="002F4565">
        <w:rPr>
          <w:lang w:val="pt-BR"/>
        </w:rPr>
        <w:t xml:space="preserve"> </w:t>
      </w:r>
      <w:r w:rsidR="0049090C" w:rsidRPr="002F4565">
        <w:rPr>
          <w:lang w:val="pt-BR"/>
        </w:rPr>
        <w:t>de</w:t>
      </w:r>
      <w:r w:rsidR="00115B91" w:rsidRPr="002F4565">
        <w:rPr>
          <w:lang w:val="pt-BR"/>
        </w:rPr>
        <w:t xml:space="preserve"> </w:t>
      </w:r>
      <w:r w:rsidR="00261A8A" w:rsidRPr="002F4565">
        <w:rPr>
          <w:lang w:val="pt-BR"/>
        </w:rPr>
        <w:t>alimentos pouco saudáveis</w:t>
      </w:r>
      <w:r w:rsidR="00115B91" w:rsidRPr="002F4565">
        <w:rPr>
          <w:lang w:val="pt-BR"/>
        </w:rPr>
        <w:t xml:space="preserve"> </w:t>
      </w:r>
      <w:r w:rsidR="00FB4DE4" w:rsidRPr="002F4565">
        <w:rPr>
          <w:lang w:val="pt-BR"/>
        </w:rPr>
        <w:t>nestes países</w:t>
      </w:r>
      <w:r w:rsidR="00115B91" w:rsidRPr="002F4565">
        <w:rPr>
          <w:lang w:val="pt-BR"/>
        </w:rPr>
        <w:t xml:space="preserve"> </w:t>
      </w:r>
      <w:r w:rsidR="00FB4DE4" w:rsidRPr="002F4565">
        <w:rPr>
          <w:lang w:val="pt-BR"/>
        </w:rPr>
        <w:t xml:space="preserve">deverá superar a dos países de alta </w:t>
      </w:r>
      <w:proofErr w:type="gramStart"/>
      <w:r w:rsidR="00FB4DE4" w:rsidRPr="002F4565">
        <w:rPr>
          <w:lang w:val="pt-BR"/>
        </w:rPr>
        <w:t>renda</w:t>
      </w:r>
      <w:r w:rsidR="00115B91" w:rsidRPr="002F4565">
        <w:rPr>
          <w:lang w:val="pt-BR"/>
        </w:rPr>
        <w:t>.</w:t>
      </w:r>
      <w:proofErr w:type="gramEnd"/>
      <w:r w:rsidR="00115B91" w:rsidRPr="002F4565">
        <w:rPr>
          <w:vertAlign w:val="superscript"/>
          <w:lang w:val="pt-BR"/>
        </w:rPr>
        <w:t>10</w:t>
      </w:r>
      <w:r w:rsidR="00115B91" w:rsidRPr="002F4565">
        <w:rPr>
          <w:lang w:val="pt-BR"/>
        </w:rPr>
        <w:t xml:space="preserve"> </w:t>
      </w:r>
      <w:r w:rsidR="00FB4DE4" w:rsidRPr="002F4565">
        <w:rPr>
          <w:lang w:val="pt-BR"/>
        </w:rPr>
        <w:t xml:space="preserve">Embora o excesso de </w:t>
      </w:r>
      <w:r w:rsidR="0040430A" w:rsidRPr="002F4565">
        <w:rPr>
          <w:lang w:val="pt-BR"/>
        </w:rPr>
        <w:t>calorias</w:t>
      </w:r>
      <w:r w:rsidR="00115B91" w:rsidRPr="002F4565">
        <w:rPr>
          <w:lang w:val="pt-BR"/>
        </w:rPr>
        <w:t xml:space="preserve"> consum</w:t>
      </w:r>
      <w:r w:rsidR="00FB4DE4" w:rsidRPr="002F4565">
        <w:rPr>
          <w:lang w:val="pt-BR"/>
        </w:rPr>
        <w:t xml:space="preserve">idas nos </w:t>
      </w:r>
      <w:r w:rsidR="00261A8A" w:rsidRPr="002F4565">
        <w:rPr>
          <w:lang w:val="pt-BR"/>
        </w:rPr>
        <w:t>alimentos pouco saudáveis</w:t>
      </w:r>
      <w:r w:rsidR="00115B91" w:rsidRPr="002F4565">
        <w:rPr>
          <w:lang w:val="pt-BR"/>
        </w:rPr>
        <w:t xml:space="preserve"> </w:t>
      </w:r>
      <w:r w:rsidR="00FB4DE4" w:rsidRPr="002F4565">
        <w:rPr>
          <w:lang w:val="pt-BR"/>
        </w:rPr>
        <w:t>possa ser gasto pela atividade física</w:t>
      </w:r>
      <w:r w:rsidR="00115B91" w:rsidRPr="002F4565">
        <w:rPr>
          <w:lang w:val="pt-BR"/>
        </w:rPr>
        <w:t xml:space="preserve">, </w:t>
      </w:r>
      <w:r w:rsidR="00FB4DE4" w:rsidRPr="002F4565">
        <w:rPr>
          <w:lang w:val="pt-BR"/>
        </w:rPr>
        <w:t>a mudança na tecno</w:t>
      </w:r>
      <w:r w:rsidR="00115B91" w:rsidRPr="002F4565">
        <w:rPr>
          <w:lang w:val="pt-BR"/>
        </w:rPr>
        <w:t>l</w:t>
      </w:r>
      <w:r w:rsidR="00FB4DE4" w:rsidRPr="002F4565">
        <w:rPr>
          <w:lang w:val="pt-BR"/>
        </w:rPr>
        <w:t>ogia</w:t>
      </w:r>
      <w:r w:rsidR="00115B91" w:rsidRPr="002F4565">
        <w:rPr>
          <w:lang w:val="pt-BR"/>
        </w:rPr>
        <w:t xml:space="preserve"> </w:t>
      </w:r>
      <w:r w:rsidR="00FB4DE4" w:rsidRPr="002F4565">
        <w:rPr>
          <w:lang w:val="pt-BR"/>
        </w:rPr>
        <w:t xml:space="preserve">de ocupações </w:t>
      </w:r>
      <w:r w:rsidR="00251FF5" w:rsidRPr="002F4565">
        <w:rPr>
          <w:lang w:val="pt-BR"/>
        </w:rPr>
        <w:t xml:space="preserve">com </w:t>
      </w:r>
      <w:r w:rsidR="00FB4DE4" w:rsidRPr="002F4565">
        <w:rPr>
          <w:lang w:val="pt-BR"/>
        </w:rPr>
        <w:t>mão</w:t>
      </w:r>
      <w:r w:rsidR="00251FF5" w:rsidRPr="002F4565">
        <w:rPr>
          <w:lang w:val="pt-BR"/>
        </w:rPr>
        <w:t>-</w:t>
      </w:r>
      <w:r w:rsidR="00FB4DE4" w:rsidRPr="002F4565">
        <w:rPr>
          <w:lang w:val="pt-BR"/>
        </w:rPr>
        <w:t>de</w:t>
      </w:r>
      <w:r w:rsidR="00251FF5" w:rsidRPr="002F4565">
        <w:rPr>
          <w:lang w:val="pt-BR"/>
        </w:rPr>
        <w:t>-</w:t>
      </w:r>
      <w:r w:rsidR="00FB4DE4" w:rsidRPr="002F4565">
        <w:rPr>
          <w:lang w:val="pt-BR"/>
        </w:rPr>
        <w:t xml:space="preserve">obra intensiva para aquelas orientadas para o serviço </w:t>
      </w:r>
      <w:r w:rsidR="0049090C" w:rsidRPr="002F4565">
        <w:rPr>
          <w:lang w:val="pt-BR"/>
        </w:rPr>
        <w:t>e</w:t>
      </w:r>
      <w:r w:rsidR="00115B91" w:rsidRPr="002F4565">
        <w:rPr>
          <w:lang w:val="pt-BR"/>
        </w:rPr>
        <w:t xml:space="preserve"> </w:t>
      </w:r>
      <w:r w:rsidR="0049090C" w:rsidRPr="002F4565">
        <w:rPr>
          <w:lang w:val="pt-BR"/>
        </w:rPr>
        <w:t>mudanças</w:t>
      </w:r>
      <w:r w:rsidR="00115B91" w:rsidRPr="002F4565">
        <w:rPr>
          <w:lang w:val="pt-BR"/>
        </w:rPr>
        <w:t xml:space="preserve"> </w:t>
      </w:r>
      <w:r w:rsidR="00FB4DE4" w:rsidRPr="002F4565">
        <w:rPr>
          <w:lang w:val="pt-BR"/>
        </w:rPr>
        <w:t xml:space="preserve">nos </w:t>
      </w:r>
      <w:r w:rsidR="00FB4DE4" w:rsidRPr="002F4565">
        <w:rPr>
          <w:lang w:val="pt-BR"/>
        </w:rPr>
        <w:lastRenderedPageBreak/>
        <w:t>meios de transporte</w:t>
      </w:r>
      <w:r w:rsidR="00115B91" w:rsidRPr="002F4565">
        <w:rPr>
          <w:lang w:val="pt-BR"/>
        </w:rPr>
        <w:t xml:space="preserve"> </w:t>
      </w:r>
      <w:r w:rsidR="00FB4DE4" w:rsidRPr="002F4565">
        <w:rPr>
          <w:lang w:val="pt-BR"/>
        </w:rPr>
        <w:t>resultaram em</w:t>
      </w:r>
      <w:r w:rsidR="00115B91" w:rsidRPr="002F4565">
        <w:rPr>
          <w:lang w:val="pt-BR"/>
        </w:rPr>
        <w:t xml:space="preserve"> </w:t>
      </w:r>
      <w:r w:rsidR="00FB4DE4" w:rsidRPr="002F4565">
        <w:rPr>
          <w:lang w:val="pt-BR"/>
        </w:rPr>
        <w:t xml:space="preserve">estilos de vida sedentários </w:t>
      </w:r>
      <w:r w:rsidR="0049090C" w:rsidRPr="002F4565">
        <w:rPr>
          <w:lang w:val="pt-BR"/>
        </w:rPr>
        <w:t>e</w:t>
      </w:r>
      <w:r w:rsidR="00251FF5" w:rsidRPr="002F4565">
        <w:rPr>
          <w:lang w:val="pt-BR"/>
        </w:rPr>
        <w:t>,</w:t>
      </w:r>
      <w:r w:rsidR="00115B91" w:rsidRPr="002F4565">
        <w:rPr>
          <w:lang w:val="pt-BR"/>
        </w:rPr>
        <w:t xml:space="preserve"> </w:t>
      </w:r>
      <w:r w:rsidR="00FB4DE4" w:rsidRPr="002F4565">
        <w:rPr>
          <w:lang w:val="pt-BR"/>
        </w:rPr>
        <w:t>portanto</w:t>
      </w:r>
      <w:r w:rsidR="00251FF5" w:rsidRPr="002F4565">
        <w:rPr>
          <w:lang w:val="pt-BR"/>
        </w:rPr>
        <w:t>,</w:t>
      </w:r>
      <w:r w:rsidR="00FB4DE4" w:rsidRPr="002F4565">
        <w:rPr>
          <w:lang w:val="pt-BR"/>
        </w:rPr>
        <w:t xml:space="preserve"> reduziram a atividade física</w:t>
      </w:r>
      <w:r w:rsidR="00115B91" w:rsidRPr="002F4565">
        <w:rPr>
          <w:lang w:val="pt-BR"/>
        </w:rPr>
        <w:t xml:space="preserve"> </w:t>
      </w:r>
      <w:r w:rsidR="0049090C" w:rsidRPr="002F4565">
        <w:rPr>
          <w:lang w:val="pt-BR"/>
        </w:rPr>
        <w:t>e</w:t>
      </w:r>
      <w:r w:rsidR="00115B91" w:rsidRPr="002F4565">
        <w:rPr>
          <w:lang w:val="pt-BR"/>
        </w:rPr>
        <w:t xml:space="preserve"> </w:t>
      </w:r>
      <w:r w:rsidR="00251FF5" w:rsidRPr="002F4565">
        <w:rPr>
          <w:lang w:val="pt-BR"/>
        </w:rPr>
        <w:t xml:space="preserve">o </w:t>
      </w:r>
      <w:r w:rsidR="00FB4DE4" w:rsidRPr="002F4565">
        <w:rPr>
          <w:lang w:val="pt-BR"/>
        </w:rPr>
        <w:t xml:space="preserve">gasto de </w:t>
      </w:r>
      <w:r w:rsidR="0040430A" w:rsidRPr="002F4565">
        <w:rPr>
          <w:lang w:val="pt-BR"/>
        </w:rPr>
        <w:t>energia</w:t>
      </w:r>
      <w:r w:rsidR="00115B91" w:rsidRPr="002F4565">
        <w:rPr>
          <w:lang w:val="pt-BR"/>
        </w:rPr>
        <w:t>.</w:t>
      </w:r>
      <w:r w:rsidR="00115B91" w:rsidRPr="002F4565">
        <w:rPr>
          <w:vertAlign w:val="superscript"/>
          <w:lang w:val="pt-BR"/>
        </w:rPr>
        <w:t>11</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4. </w:t>
      </w:r>
      <w:r w:rsidR="0049090C" w:rsidRPr="002F4565">
        <w:rPr>
          <w:lang w:val="pt-BR"/>
        </w:rPr>
        <w:t>O</w:t>
      </w:r>
      <w:r w:rsidR="00FB4DE4" w:rsidRPr="002F4565">
        <w:rPr>
          <w:lang w:val="pt-BR"/>
        </w:rPr>
        <w:t>s</w:t>
      </w:r>
      <w:r w:rsidRPr="002F4565">
        <w:rPr>
          <w:lang w:val="pt-BR"/>
        </w:rPr>
        <w:t xml:space="preserve"> </w:t>
      </w:r>
      <w:r w:rsidR="00FB4DE4" w:rsidRPr="002F4565">
        <w:rPr>
          <w:lang w:val="pt-BR"/>
        </w:rPr>
        <w:t>processos</w:t>
      </w:r>
      <w:r w:rsidRPr="002F4565">
        <w:rPr>
          <w:lang w:val="pt-BR"/>
        </w:rPr>
        <w:t xml:space="preserve"> </w:t>
      </w:r>
      <w:r w:rsidR="0049090C" w:rsidRPr="002F4565">
        <w:rPr>
          <w:lang w:val="pt-BR"/>
        </w:rPr>
        <w:t>de</w:t>
      </w:r>
      <w:r w:rsidRPr="002F4565">
        <w:rPr>
          <w:lang w:val="pt-BR"/>
        </w:rPr>
        <w:t xml:space="preserve"> globaliz</w:t>
      </w:r>
      <w:r w:rsidR="00F21F55" w:rsidRPr="002F4565">
        <w:rPr>
          <w:lang w:val="pt-BR"/>
        </w:rPr>
        <w:t>ação</w:t>
      </w:r>
      <w:r w:rsidRPr="002F4565">
        <w:rPr>
          <w:lang w:val="pt-BR"/>
        </w:rPr>
        <w:t xml:space="preserve">, </w:t>
      </w:r>
      <w:r w:rsidR="00FB4DE4" w:rsidRPr="002F4565">
        <w:rPr>
          <w:lang w:val="pt-BR"/>
        </w:rPr>
        <w:t>em</w:t>
      </w:r>
      <w:r w:rsidRPr="002F4565">
        <w:rPr>
          <w:lang w:val="pt-BR"/>
        </w:rPr>
        <w:t xml:space="preserve"> particular </w:t>
      </w:r>
      <w:r w:rsidR="00FB4DE4" w:rsidRPr="002F4565">
        <w:rPr>
          <w:lang w:val="pt-BR"/>
        </w:rPr>
        <w:t xml:space="preserve">o </w:t>
      </w:r>
      <w:r w:rsidR="00251FF5" w:rsidRPr="002F4565">
        <w:rPr>
          <w:lang w:val="pt-BR"/>
        </w:rPr>
        <w:t>comércio</w:t>
      </w:r>
      <w:r w:rsidR="00FB4DE4" w:rsidRPr="002F4565">
        <w:rPr>
          <w:lang w:val="pt-BR"/>
        </w:rPr>
        <w:t xml:space="preserve"> </w:t>
      </w:r>
      <w:r w:rsidR="0049090C" w:rsidRPr="002F4565">
        <w:rPr>
          <w:lang w:val="pt-BR"/>
        </w:rPr>
        <w:t>e</w:t>
      </w:r>
      <w:r w:rsidRPr="002F4565">
        <w:rPr>
          <w:lang w:val="pt-BR"/>
        </w:rPr>
        <w:t xml:space="preserve"> </w:t>
      </w:r>
      <w:r w:rsidR="00FB4DE4" w:rsidRPr="002F4565">
        <w:rPr>
          <w:lang w:val="pt-BR"/>
        </w:rPr>
        <w:t>os investimentos estrangeiros diretos (</w:t>
      </w:r>
      <w:r w:rsidRPr="002F4565">
        <w:rPr>
          <w:lang w:val="pt-BR"/>
        </w:rPr>
        <w:t>FDI</w:t>
      </w:r>
      <w:r w:rsidR="00251FF5" w:rsidRPr="002F4565">
        <w:rPr>
          <w:lang w:val="pt-BR"/>
        </w:rPr>
        <w:t>s</w:t>
      </w:r>
      <w:r w:rsidR="00FB4DE4" w:rsidRPr="002F4565">
        <w:rPr>
          <w:lang w:val="pt-BR"/>
        </w:rPr>
        <w:t>)</w:t>
      </w:r>
      <w:r w:rsidRPr="002F4565">
        <w:rPr>
          <w:lang w:val="pt-BR"/>
        </w:rPr>
        <w:t xml:space="preserve"> </w:t>
      </w:r>
      <w:r w:rsidR="00FB4DE4" w:rsidRPr="002F4565">
        <w:rPr>
          <w:lang w:val="pt-BR"/>
        </w:rPr>
        <w:t xml:space="preserve">no processamento de </w:t>
      </w:r>
      <w:r w:rsidR="0049090C" w:rsidRPr="002F4565">
        <w:rPr>
          <w:lang w:val="pt-BR"/>
        </w:rPr>
        <w:t>alimento</w:t>
      </w:r>
      <w:r w:rsidR="00FB4DE4" w:rsidRPr="002F4565">
        <w:rPr>
          <w:lang w:val="pt-BR"/>
        </w:rPr>
        <w:t>s</w:t>
      </w:r>
      <w:r w:rsidRPr="002F4565">
        <w:rPr>
          <w:lang w:val="pt-BR"/>
        </w:rPr>
        <w:t xml:space="preserve">, </w:t>
      </w:r>
      <w:r w:rsidR="00FB4DE4" w:rsidRPr="002F4565">
        <w:rPr>
          <w:lang w:val="pt-BR"/>
        </w:rPr>
        <w:t>vendas no varejo</w:t>
      </w:r>
      <w:r w:rsidRPr="002F4565">
        <w:rPr>
          <w:lang w:val="pt-BR"/>
        </w:rPr>
        <w:t xml:space="preserve"> </w:t>
      </w:r>
      <w:r w:rsidR="0049090C" w:rsidRPr="002F4565">
        <w:rPr>
          <w:lang w:val="pt-BR"/>
        </w:rPr>
        <w:t>e</w:t>
      </w:r>
      <w:r w:rsidRPr="002F4565">
        <w:rPr>
          <w:lang w:val="pt-BR"/>
        </w:rPr>
        <w:t xml:space="preserve"> </w:t>
      </w:r>
      <w:r w:rsidR="00FB4DE4" w:rsidRPr="002F4565">
        <w:rPr>
          <w:lang w:val="pt-BR"/>
        </w:rPr>
        <w:t xml:space="preserve">propaganda </w:t>
      </w:r>
      <w:r w:rsidR="0049090C" w:rsidRPr="002F4565">
        <w:rPr>
          <w:lang w:val="pt-BR"/>
        </w:rPr>
        <w:t>e</w:t>
      </w:r>
      <w:r w:rsidRPr="002F4565">
        <w:rPr>
          <w:lang w:val="pt-BR"/>
        </w:rPr>
        <w:t xml:space="preserve"> prom</w:t>
      </w:r>
      <w:r w:rsidR="00F21F55" w:rsidRPr="002F4565">
        <w:rPr>
          <w:lang w:val="pt-BR"/>
        </w:rPr>
        <w:t>oção</w:t>
      </w:r>
      <w:r w:rsidR="00FB4DE4" w:rsidRPr="002F4565">
        <w:rPr>
          <w:lang w:val="pt-BR"/>
        </w:rPr>
        <w:t xml:space="preserve"> de alimentos</w:t>
      </w:r>
      <w:r w:rsidRPr="002F4565">
        <w:rPr>
          <w:lang w:val="pt-BR"/>
        </w:rPr>
        <w:t xml:space="preserve">, </w:t>
      </w:r>
      <w:r w:rsidR="00FB4DE4" w:rsidRPr="002F4565">
        <w:rPr>
          <w:lang w:val="pt-BR"/>
        </w:rPr>
        <w:t xml:space="preserve">se tornaram cada vez mais associados </w:t>
      </w:r>
      <w:r w:rsidR="00F21F55" w:rsidRPr="002F4565">
        <w:rPr>
          <w:lang w:val="pt-BR"/>
        </w:rPr>
        <w:t>com</w:t>
      </w:r>
      <w:r w:rsidRPr="002F4565">
        <w:rPr>
          <w:lang w:val="pt-BR"/>
        </w:rPr>
        <w:t xml:space="preserve"> </w:t>
      </w:r>
      <w:r w:rsidR="00FB4DE4" w:rsidRPr="002F4565">
        <w:rPr>
          <w:lang w:val="pt-BR"/>
        </w:rPr>
        <w:t xml:space="preserve">mudanças de direção nos padrões das dietas para aqueles vinculados com </w:t>
      </w:r>
      <w:r w:rsidR="00251FF5" w:rsidRPr="002F4565">
        <w:rPr>
          <w:lang w:val="pt-BR"/>
        </w:rPr>
        <w:t xml:space="preserve">as </w:t>
      </w:r>
      <w:proofErr w:type="gramStart"/>
      <w:r w:rsidR="0049090C" w:rsidRPr="002F4565">
        <w:rPr>
          <w:lang w:val="pt-BR"/>
        </w:rPr>
        <w:t>DNT</w:t>
      </w:r>
      <w:r w:rsidRPr="002F4565">
        <w:rPr>
          <w:lang w:val="pt-BR"/>
        </w:rPr>
        <w:t>s.</w:t>
      </w:r>
      <w:proofErr w:type="gramEnd"/>
      <w:r w:rsidRPr="002F4565">
        <w:rPr>
          <w:vertAlign w:val="superscript"/>
          <w:lang w:val="pt-BR"/>
        </w:rPr>
        <w:t>12</w:t>
      </w:r>
      <w:r w:rsidRPr="002F4565">
        <w:rPr>
          <w:lang w:val="pt-BR"/>
        </w:rPr>
        <w:t xml:space="preserve"> </w:t>
      </w:r>
      <w:r w:rsidR="00FB4DE4" w:rsidRPr="002F4565">
        <w:rPr>
          <w:lang w:val="pt-BR"/>
        </w:rPr>
        <w:t xml:space="preserve">Isto </w:t>
      </w:r>
      <w:r w:rsidR="00F21F55" w:rsidRPr="002F4565">
        <w:rPr>
          <w:lang w:val="pt-BR"/>
        </w:rPr>
        <w:t>também</w:t>
      </w:r>
      <w:r w:rsidRPr="002F4565">
        <w:rPr>
          <w:lang w:val="pt-BR"/>
        </w:rPr>
        <w:t xml:space="preserve"> </w:t>
      </w:r>
      <w:r w:rsidR="00FB4DE4" w:rsidRPr="002F4565">
        <w:rPr>
          <w:lang w:val="pt-BR"/>
        </w:rPr>
        <w:t xml:space="preserve">está </w:t>
      </w:r>
      <w:r w:rsidRPr="002F4565">
        <w:rPr>
          <w:lang w:val="pt-BR"/>
        </w:rPr>
        <w:t>demonstra</w:t>
      </w:r>
      <w:r w:rsidR="00FB4DE4" w:rsidRPr="002F4565">
        <w:rPr>
          <w:lang w:val="pt-BR"/>
        </w:rPr>
        <w:t>do na presença cada vez maior de companhias</w:t>
      </w:r>
      <w:r w:rsidRPr="002F4565">
        <w:rPr>
          <w:lang w:val="pt-BR"/>
        </w:rPr>
        <w:t xml:space="preserve"> </w:t>
      </w:r>
      <w:r w:rsidR="00FB4DE4" w:rsidRPr="002F4565">
        <w:rPr>
          <w:lang w:val="pt-BR"/>
        </w:rPr>
        <w:t>transnacionais de alimentos e bebidas em</w:t>
      </w:r>
      <w:r w:rsidRPr="002F4565">
        <w:rPr>
          <w:lang w:val="pt-BR"/>
        </w:rPr>
        <w:t xml:space="preserve"> </w:t>
      </w:r>
      <w:r w:rsidR="00FB4DE4" w:rsidRPr="002F4565">
        <w:rPr>
          <w:lang w:val="pt-BR"/>
        </w:rPr>
        <w:t>uma série de países</w:t>
      </w:r>
      <w:r w:rsidRPr="002F4565">
        <w:rPr>
          <w:lang w:val="pt-BR"/>
        </w:rPr>
        <w:t>, parti</w:t>
      </w:r>
      <w:r w:rsidR="00FB4DE4" w:rsidRPr="002F4565">
        <w:rPr>
          <w:lang w:val="pt-BR"/>
        </w:rPr>
        <w:t>cularmente</w:t>
      </w:r>
      <w:r w:rsidRPr="002F4565">
        <w:rPr>
          <w:lang w:val="pt-BR"/>
        </w:rPr>
        <w:t xml:space="preserve"> </w:t>
      </w:r>
      <w:r w:rsidR="00FB4DE4" w:rsidRPr="002F4565">
        <w:rPr>
          <w:lang w:val="pt-BR"/>
        </w:rPr>
        <w:t xml:space="preserve">nos países em desenvolvimento </w:t>
      </w:r>
      <w:r w:rsidR="0049090C" w:rsidRPr="002F4565">
        <w:rPr>
          <w:lang w:val="pt-BR"/>
        </w:rPr>
        <w:t>e</w:t>
      </w:r>
      <w:r w:rsidRPr="002F4565">
        <w:rPr>
          <w:lang w:val="pt-BR"/>
        </w:rPr>
        <w:t xml:space="preserve"> </w:t>
      </w:r>
      <w:r w:rsidR="00251FF5" w:rsidRPr="002F4565">
        <w:rPr>
          <w:lang w:val="pt-BR"/>
        </w:rPr>
        <w:t xml:space="preserve">sua </w:t>
      </w:r>
      <w:r w:rsidR="00BC3868" w:rsidRPr="002F4565">
        <w:rPr>
          <w:lang w:val="pt-BR"/>
        </w:rPr>
        <w:t>publicidade</w:t>
      </w:r>
      <w:r w:rsidRPr="002F4565">
        <w:rPr>
          <w:lang w:val="pt-BR"/>
        </w:rPr>
        <w:t xml:space="preserve"> </w:t>
      </w:r>
      <w:r w:rsidR="00251FF5" w:rsidRPr="002F4565">
        <w:rPr>
          <w:lang w:val="pt-BR"/>
        </w:rPr>
        <w:t xml:space="preserve">agressiva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w:t>
      </w:r>
      <w:r w:rsidRPr="002F4565">
        <w:rPr>
          <w:vertAlign w:val="superscript"/>
          <w:lang w:val="pt-BR"/>
        </w:rPr>
        <w:t>13</w:t>
      </w:r>
      <w:r w:rsidRPr="002F4565">
        <w:rPr>
          <w:lang w:val="pt-BR"/>
        </w:rPr>
        <w:t xml:space="preserve"> </w:t>
      </w:r>
      <w:r w:rsidR="00FB4401" w:rsidRPr="002F4565">
        <w:rPr>
          <w:lang w:val="pt-BR"/>
        </w:rPr>
        <w:t xml:space="preserve">Embora as respostas das </w:t>
      </w:r>
      <w:r w:rsidR="0007577A" w:rsidRPr="002F4565">
        <w:rPr>
          <w:lang w:val="pt-BR"/>
        </w:rPr>
        <w:t>políticas</w:t>
      </w:r>
      <w:r w:rsidR="00FB4401" w:rsidRPr="002F4565">
        <w:rPr>
          <w:lang w:val="pt-BR"/>
        </w:rPr>
        <w:t xml:space="preserve"> públicas sejam essenciais para </w:t>
      </w:r>
      <w:r w:rsidR="00251FF5" w:rsidRPr="002F4565">
        <w:rPr>
          <w:lang w:val="pt-BR"/>
        </w:rPr>
        <w:t xml:space="preserve">atacar </w:t>
      </w:r>
      <w:r w:rsidR="00FB4401" w:rsidRPr="002F4565">
        <w:rPr>
          <w:lang w:val="pt-BR"/>
        </w:rPr>
        <w:t>dietas não saudáveis</w:t>
      </w:r>
      <w:r w:rsidRPr="002F4565">
        <w:rPr>
          <w:lang w:val="pt-BR"/>
        </w:rPr>
        <w:t xml:space="preserve"> </w:t>
      </w:r>
      <w:r w:rsidR="00FB4401" w:rsidRPr="002F4565">
        <w:rPr>
          <w:lang w:val="pt-BR"/>
        </w:rPr>
        <w:t>ao se concentrar em respostas</w:t>
      </w:r>
      <w:r w:rsidRPr="002F4565">
        <w:rPr>
          <w:lang w:val="pt-BR"/>
        </w:rPr>
        <w:t xml:space="preserve"> </w:t>
      </w:r>
      <w:r w:rsidR="00FB4401" w:rsidRPr="002F4565">
        <w:rPr>
          <w:lang w:val="pt-BR"/>
        </w:rPr>
        <w:t xml:space="preserve">em nível da população em geral </w:t>
      </w:r>
      <w:r w:rsidR="006A31E1" w:rsidRPr="002F4565">
        <w:rPr>
          <w:lang w:val="pt-BR"/>
        </w:rPr>
        <w:t>que</w:t>
      </w:r>
      <w:r w:rsidRPr="002F4565">
        <w:rPr>
          <w:lang w:val="pt-BR"/>
        </w:rPr>
        <w:t xml:space="preserve"> </w:t>
      </w:r>
      <w:r w:rsidR="00FB4401" w:rsidRPr="002F4565">
        <w:rPr>
          <w:lang w:val="pt-BR"/>
        </w:rPr>
        <w:t>alteram os padrões de compras</w:t>
      </w:r>
      <w:r w:rsidRPr="002F4565">
        <w:rPr>
          <w:lang w:val="pt-BR"/>
        </w:rPr>
        <w:t xml:space="preserve"> </w:t>
      </w:r>
      <w:r w:rsidR="0049090C" w:rsidRPr="002F4565">
        <w:rPr>
          <w:lang w:val="pt-BR"/>
        </w:rPr>
        <w:t>e</w:t>
      </w:r>
      <w:r w:rsidRPr="002F4565">
        <w:rPr>
          <w:lang w:val="pt-BR"/>
        </w:rPr>
        <w:t xml:space="preserve"> </w:t>
      </w:r>
      <w:r w:rsidR="0049090C" w:rsidRPr="002F4565">
        <w:rPr>
          <w:lang w:val="pt-BR"/>
        </w:rPr>
        <w:t>consumo</w:t>
      </w:r>
      <w:r w:rsidRPr="002F4565">
        <w:rPr>
          <w:lang w:val="pt-BR"/>
        </w:rPr>
        <w:t xml:space="preserve">, </w:t>
      </w:r>
      <w:r w:rsidR="00FB4401" w:rsidRPr="002F4565">
        <w:rPr>
          <w:lang w:val="pt-BR"/>
        </w:rPr>
        <w:t xml:space="preserve">houve ênfase </w:t>
      </w:r>
      <w:r w:rsidR="00251FF5" w:rsidRPr="002F4565">
        <w:rPr>
          <w:lang w:val="pt-BR"/>
        </w:rPr>
        <w:t xml:space="preserve">bem menor </w:t>
      </w:r>
      <w:r w:rsidR="00FB4401" w:rsidRPr="002F4565">
        <w:rPr>
          <w:lang w:val="pt-BR"/>
        </w:rPr>
        <w:t xml:space="preserve">na abordagem a </w:t>
      </w:r>
      <w:r w:rsidR="0049090C" w:rsidRPr="002F4565">
        <w:rPr>
          <w:lang w:val="pt-BR"/>
        </w:rPr>
        <w:t>mudanças</w:t>
      </w:r>
      <w:r w:rsidRPr="002F4565">
        <w:rPr>
          <w:lang w:val="pt-BR"/>
        </w:rPr>
        <w:t xml:space="preserve"> </w:t>
      </w:r>
      <w:r w:rsidR="00FB4401" w:rsidRPr="002F4565">
        <w:rPr>
          <w:lang w:val="pt-BR"/>
        </w:rPr>
        <w:t xml:space="preserve">estruturais no </w:t>
      </w:r>
      <w:r w:rsidR="00251FF5" w:rsidRPr="002F4565">
        <w:rPr>
          <w:lang w:val="pt-BR"/>
        </w:rPr>
        <w:t>sistema alimentar</w:t>
      </w:r>
      <w:r w:rsidRPr="002F4565">
        <w:rPr>
          <w:lang w:val="pt-BR"/>
        </w:rPr>
        <w:t xml:space="preserve"> </w:t>
      </w:r>
      <w:r w:rsidR="006A31E1" w:rsidRPr="002F4565">
        <w:rPr>
          <w:lang w:val="pt-BR"/>
        </w:rPr>
        <w:t>que</w:t>
      </w:r>
      <w:r w:rsidRPr="002F4565">
        <w:rPr>
          <w:lang w:val="pt-BR"/>
        </w:rPr>
        <w:t xml:space="preserve"> </w:t>
      </w:r>
      <w:r w:rsidR="00FB4401" w:rsidRPr="002F4565">
        <w:rPr>
          <w:lang w:val="pt-BR"/>
        </w:rPr>
        <w:t xml:space="preserve">afetam </w:t>
      </w:r>
      <w:r w:rsidR="00251FF5" w:rsidRPr="002F4565">
        <w:rPr>
          <w:lang w:val="pt-BR"/>
        </w:rPr>
        <w:t xml:space="preserve">significativamente </w:t>
      </w:r>
      <w:r w:rsidR="00FB4401" w:rsidRPr="002F4565">
        <w:rPr>
          <w:lang w:val="pt-BR"/>
        </w:rPr>
        <w:t xml:space="preserve">a </w:t>
      </w:r>
      <w:r w:rsidR="0040430A" w:rsidRPr="002F4565">
        <w:rPr>
          <w:lang w:val="pt-BR"/>
        </w:rPr>
        <w:t>dieta</w:t>
      </w:r>
      <w:r w:rsidR="00FB4401" w:rsidRPr="002F4565">
        <w:rPr>
          <w:lang w:val="pt-BR"/>
        </w:rPr>
        <w:t xml:space="preserve"> das pessoas</w:t>
      </w:r>
      <w:r w:rsidRPr="002F4565">
        <w:rPr>
          <w:lang w:val="pt-BR"/>
        </w:rPr>
        <w:t>.</w:t>
      </w:r>
      <w:r w:rsidRPr="002F4565">
        <w:rPr>
          <w:vertAlign w:val="superscript"/>
          <w:lang w:val="pt-BR"/>
        </w:rPr>
        <w:t>14</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II. </w:t>
      </w:r>
      <w:r w:rsidR="00802E44" w:rsidRPr="002F4565">
        <w:rPr>
          <w:lang w:val="pt-BR"/>
        </w:rPr>
        <w:t>Impacto da globalização</w:t>
      </w:r>
      <w:r w:rsidRPr="002F4565">
        <w:rPr>
          <w:lang w:val="pt-BR"/>
        </w:rPr>
        <w:t xml:space="preserve"> </w:t>
      </w:r>
      <w:r w:rsidR="00802E44" w:rsidRPr="002F4565">
        <w:rPr>
          <w:lang w:val="pt-BR"/>
        </w:rPr>
        <w:t xml:space="preserve">sobre os </w:t>
      </w:r>
      <w:r w:rsidR="00BC3868" w:rsidRPr="002F4565">
        <w:rPr>
          <w:lang w:val="pt-BR"/>
        </w:rPr>
        <w:t>sistemas alimentares</w:t>
      </w:r>
    </w:p>
    <w:p w:rsidR="00115B91" w:rsidRPr="002F4565" w:rsidRDefault="00115B91" w:rsidP="0051636A">
      <w:pPr>
        <w:spacing w:before="120" w:after="0" w:line="240" w:lineRule="auto"/>
        <w:rPr>
          <w:lang w:val="pt-BR"/>
        </w:rPr>
      </w:pPr>
      <w:r w:rsidRPr="002F4565">
        <w:rPr>
          <w:lang w:val="pt-BR"/>
        </w:rPr>
        <w:t xml:space="preserve">5. </w:t>
      </w:r>
      <w:r w:rsidR="00FB4401" w:rsidRPr="002F4565">
        <w:rPr>
          <w:lang w:val="pt-BR"/>
        </w:rPr>
        <w:t>As</w:t>
      </w:r>
      <w:r w:rsidRPr="002F4565">
        <w:rPr>
          <w:lang w:val="pt-BR"/>
        </w:rPr>
        <w:t xml:space="preserve"> </w:t>
      </w:r>
      <w:r w:rsidR="0049090C" w:rsidRPr="002F4565">
        <w:rPr>
          <w:lang w:val="pt-BR"/>
        </w:rPr>
        <w:t>políticas</w:t>
      </w:r>
      <w:r w:rsidRPr="002F4565">
        <w:rPr>
          <w:lang w:val="pt-BR"/>
        </w:rPr>
        <w:t xml:space="preserve"> </w:t>
      </w:r>
      <w:r w:rsidR="0049090C" w:rsidRPr="002F4565">
        <w:rPr>
          <w:lang w:val="pt-BR"/>
        </w:rPr>
        <w:t>de</w:t>
      </w:r>
      <w:r w:rsidRPr="002F4565">
        <w:rPr>
          <w:lang w:val="pt-BR"/>
        </w:rPr>
        <w:t xml:space="preserve"> globaliz</w:t>
      </w:r>
      <w:r w:rsidR="00F21F55" w:rsidRPr="002F4565">
        <w:rPr>
          <w:lang w:val="pt-BR"/>
        </w:rPr>
        <w:t>ação</w:t>
      </w:r>
      <w:r w:rsidRPr="002F4565">
        <w:rPr>
          <w:lang w:val="pt-BR"/>
        </w:rPr>
        <w:t xml:space="preserve"> </w:t>
      </w:r>
      <w:r w:rsidR="00FB4401" w:rsidRPr="002F4565">
        <w:rPr>
          <w:lang w:val="pt-BR"/>
        </w:rPr>
        <w:t xml:space="preserve">desempenham um papel </w:t>
      </w:r>
      <w:r w:rsidR="006A31E1" w:rsidRPr="002F4565">
        <w:rPr>
          <w:lang w:val="pt-BR"/>
        </w:rPr>
        <w:t>importante</w:t>
      </w:r>
      <w:r w:rsidRPr="002F4565">
        <w:rPr>
          <w:lang w:val="pt-BR"/>
        </w:rPr>
        <w:t xml:space="preserve"> role </w:t>
      </w:r>
      <w:r w:rsidR="00FB4401" w:rsidRPr="002F4565">
        <w:rPr>
          <w:lang w:val="pt-BR"/>
        </w:rPr>
        <w:t xml:space="preserve">ao aumentar o livre </w:t>
      </w:r>
      <w:r w:rsidR="00251FF5" w:rsidRPr="002F4565">
        <w:rPr>
          <w:lang w:val="pt-BR"/>
        </w:rPr>
        <w:t xml:space="preserve">fluxo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261A8A" w:rsidRPr="002F4565">
        <w:rPr>
          <w:lang w:val="pt-BR"/>
        </w:rPr>
        <w:t>entre</w:t>
      </w:r>
      <w:r w:rsidRPr="002F4565">
        <w:rPr>
          <w:lang w:val="pt-BR"/>
        </w:rPr>
        <w:t xml:space="preserve"> </w:t>
      </w:r>
      <w:r w:rsidR="00FB4401" w:rsidRPr="002F4565">
        <w:rPr>
          <w:lang w:val="pt-BR"/>
        </w:rPr>
        <w:t xml:space="preserve">os </w:t>
      </w:r>
      <w:r w:rsidR="00FB4DE4" w:rsidRPr="002F4565">
        <w:rPr>
          <w:lang w:val="pt-BR"/>
        </w:rPr>
        <w:t>países</w:t>
      </w:r>
      <w:r w:rsidRPr="002F4565">
        <w:rPr>
          <w:lang w:val="pt-BR"/>
        </w:rPr>
        <w:t xml:space="preserve">. </w:t>
      </w:r>
      <w:r w:rsidR="00FB4401" w:rsidRPr="002F4565">
        <w:rPr>
          <w:lang w:val="pt-BR"/>
        </w:rPr>
        <w:t>As mudanças</w:t>
      </w:r>
      <w:r w:rsidRPr="002F4565">
        <w:rPr>
          <w:lang w:val="pt-BR"/>
        </w:rPr>
        <w:t xml:space="preserve"> </w:t>
      </w:r>
      <w:r w:rsidR="00FB4401" w:rsidRPr="002F4565">
        <w:rPr>
          <w:lang w:val="pt-BR"/>
        </w:rPr>
        <w:t xml:space="preserve">no </w:t>
      </w:r>
      <w:r w:rsidR="00251FF5" w:rsidRPr="002F4565">
        <w:rPr>
          <w:lang w:val="pt-BR"/>
        </w:rPr>
        <w:t>sistema alimentar</w:t>
      </w:r>
      <w:r w:rsidR="00FB4401" w:rsidRPr="002F4565">
        <w:rPr>
          <w:lang w:val="pt-BR"/>
        </w:rPr>
        <w:t xml:space="preserve"> agora </w:t>
      </w:r>
      <w:r w:rsidR="0040430A" w:rsidRPr="002F4565">
        <w:rPr>
          <w:lang w:val="pt-BR"/>
        </w:rPr>
        <w:t>são</w:t>
      </w:r>
      <w:r w:rsidRPr="002F4565">
        <w:rPr>
          <w:lang w:val="pt-BR"/>
        </w:rPr>
        <w:t xml:space="preserve"> </w:t>
      </w:r>
      <w:r w:rsidR="00FB4401" w:rsidRPr="002F4565">
        <w:rPr>
          <w:lang w:val="pt-BR"/>
        </w:rPr>
        <w:t>orientadas</w:t>
      </w:r>
      <w:r w:rsidR="00251FF5" w:rsidRPr="002F4565">
        <w:rPr>
          <w:lang w:val="pt-BR"/>
        </w:rPr>
        <w:t>,</w:t>
      </w:r>
      <w:r w:rsidR="00FB4401" w:rsidRPr="002F4565">
        <w:rPr>
          <w:lang w:val="pt-BR"/>
        </w:rPr>
        <w:t xml:space="preserve"> em grande parte</w:t>
      </w:r>
      <w:r w:rsidR="00251FF5" w:rsidRPr="002F4565">
        <w:rPr>
          <w:lang w:val="pt-BR"/>
        </w:rPr>
        <w:t>,</w:t>
      </w:r>
      <w:r w:rsidR="00FB4401" w:rsidRPr="002F4565">
        <w:rPr>
          <w:lang w:val="pt-BR"/>
        </w:rPr>
        <w:t xml:space="preserve"> por companhias </w:t>
      </w:r>
      <w:r w:rsidR="00FB4DE4" w:rsidRPr="002F4565">
        <w:rPr>
          <w:lang w:val="pt-BR"/>
        </w:rPr>
        <w:t>transnacionais</w:t>
      </w:r>
      <w:r w:rsidRPr="002F4565">
        <w:rPr>
          <w:lang w:val="pt-BR"/>
        </w:rPr>
        <w:t xml:space="preserve"> (TNCs), </w:t>
      </w:r>
      <w:r w:rsidR="00F21F55" w:rsidRPr="002F4565">
        <w:rPr>
          <w:lang w:val="pt-BR"/>
        </w:rPr>
        <w:t>inclusive</w:t>
      </w:r>
      <w:r w:rsidRPr="002F4565">
        <w:rPr>
          <w:lang w:val="pt-BR"/>
        </w:rPr>
        <w:t xml:space="preserve"> </w:t>
      </w:r>
      <w:r w:rsidR="00FB4401" w:rsidRPr="002F4565">
        <w:rPr>
          <w:lang w:val="pt-BR"/>
        </w:rPr>
        <w:t xml:space="preserve">as fabricantes de alimentos e bebidas </w:t>
      </w:r>
      <w:r w:rsidR="0049090C" w:rsidRPr="002F4565">
        <w:rPr>
          <w:lang w:val="pt-BR"/>
        </w:rPr>
        <w:t>e</w:t>
      </w:r>
      <w:r w:rsidRPr="002F4565">
        <w:rPr>
          <w:lang w:val="pt-BR"/>
        </w:rPr>
        <w:t xml:space="preserve"> </w:t>
      </w:r>
      <w:r w:rsidR="00FB4401" w:rsidRPr="002F4565">
        <w:rPr>
          <w:lang w:val="pt-BR"/>
        </w:rPr>
        <w:t>cadeias de supermercados</w:t>
      </w:r>
      <w:r w:rsidRPr="002F4565">
        <w:rPr>
          <w:lang w:val="pt-BR"/>
        </w:rPr>
        <w:t xml:space="preserve">, </w:t>
      </w:r>
      <w:r w:rsidR="00FB4401" w:rsidRPr="002F4565">
        <w:rPr>
          <w:lang w:val="pt-BR"/>
        </w:rPr>
        <w:t xml:space="preserve">que modificaram as </w:t>
      </w:r>
      <w:r w:rsidR="0040430A" w:rsidRPr="002F4565">
        <w:rPr>
          <w:lang w:val="pt-BR"/>
        </w:rPr>
        <w:t>dietas</w:t>
      </w:r>
      <w:r w:rsidRPr="002F4565">
        <w:rPr>
          <w:lang w:val="pt-BR"/>
        </w:rPr>
        <w:t xml:space="preserve"> </w:t>
      </w:r>
      <w:r w:rsidR="00251FF5" w:rsidRPr="002F4565">
        <w:rPr>
          <w:lang w:val="pt-BR"/>
        </w:rPr>
        <w:t xml:space="preserve">passando </w:t>
      </w:r>
      <w:r w:rsidR="00FB4401" w:rsidRPr="002F4565">
        <w:rPr>
          <w:lang w:val="pt-BR"/>
        </w:rPr>
        <w:t xml:space="preserve">dos </w:t>
      </w:r>
      <w:r w:rsidR="00261A8A" w:rsidRPr="002F4565">
        <w:rPr>
          <w:lang w:val="pt-BR"/>
        </w:rPr>
        <w:t>alimentos</w:t>
      </w:r>
      <w:r w:rsidRPr="002F4565">
        <w:rPr>
          <w:lang w:val="pt-BR"/>
        </w:rPr>
        <w:t xml:space="preserve"> </w:t>
      </w:r>
      <w:r w:rsidR="00FB4401" w:rsidRPr="002F4565">
        <w:rPr>
          <w:lang w:val="pt-BR"/>
        </w:rPr>
        <w:t xml:space="preserve">tradicionais minimamente processados para os </w:t>
      </w:r>
      <w:r w:rsidR="007D3BE3" w:rsidRPr="002F4565">
        <w:rPr>
          <w:lang w:val="pt-BR"/>
        </w:rPr>
        <w:t>altamente processados</w:t>
      </w:r>
      <w:r w:rsidRPr="002F4565">
        <w:rPr>
          <w:lang w:val="pt-BR"/>
        </w:rPr>
        <w:t xml:space="preserve">. </w:t>
      </w:r>
      <w:r w:rsidR="00FB4401" w:rsidRPr="002F4565">
        <w:rPr>
          <w:lang w:val="pt-BR"/>
        </w:rPr>
        <w:t>De fato</w:t>
      </w:r>
      <w:r w:rsidRPr="002F4565">
        <w:rPr>
          <w:lang w:val="pt-BR"/>
        </w:rPr>
        <w:t>, 75</w:t>
      </w:r>
      <w:r w:rsidR="0040430A" w:rsidRPr="002F4565">
        <w:rPr>
          <w:lang w:val="pt-BR"/>
        </w:rPr>
        <w:t>%</w:t>
      </w:r>
      <w:r w:rsidRPr="002F4565">
        <w:rPr>
          <w:lang w:val="pt-BR"/>
        </w:rPr>
        <w:t xml:space="preserve"> </w:t>
      </w:r>
      <w:r w:rsidR="00FB4401" w:rsidRPr="002F4565">
        <w:rPr>
          <w:lang w:val="pt-BR"/>
        </w:rPr>
        <w:t xml:space="preserve">das vendas de </w:t>
      </w:r>
      <w:r w:rsidR="0049090C" w:rsidRPr="002F4565">
        <w:rPr>
          <w:lang w:val="pt-BR"/>
        </w:rPr>
        <w:t>alimento</w:t>
      </w:r>
      <w:r w:rsidR="00FB4401" w:rsidRPr="002F4565">
        <w:rPr>
          <w:lang w:val="pt-BR"/>
        </w:rPr>
        <w:t xml:space="preserve">s </w:t>
      </w:r>
      <w:r w:rsidR="00251FF5" w:rsidRPr="002F4565">
        <w:rPr>
          <w:lang w:val="pt-BR"/>
        </w:rPr>
        <w:t xml:space="preserve">em âmbito mundial </w:t>
      </w:r>
      <w:r w:rsidR="00FB4401" w:rsidRPr="002F4565">
        <w:rPr>
          <w:lang w:val="pt-BR"/>
        </w:rPr>
        <w:t xml:space="preserve">são </w:t>
      </w:r>
      <w:r w:rsidR="00261A8A" w:rsidRPr="002F4565">
        <w:rPr>
          <w:lang w:val="pt-BR"/>
        </w:rPr>
        <w:t>alimentos</w:t>
      </w:r>
      <w:r w:rsidR="00FB4401" w:rsidRPr="002F4565">
        <w:rPr>
          <w:lang w:val="pt-BR"/>
        </w:rPr>
        <w:t xml:space="preserve"> processados</w:t>
      </w:r>
      <w:r w:rsidRPr="002F4565">
        <w:rPr>
          <w:lang w:val="pt-BR"/>
        </w:rPr>
        <w:t xml:space="preserve">, </w:t>
      </w:r>
      <w:r w:rsidR="00FB4401" w:rsidRPr="002F4565">
        <w:rPr>
          <w:lang w:val="pt-BR"/>
        </w:rPr>
        <w:t>em que as grande</w:t>
      </w:r>
      <w:r w:rsidR="00251FF5" w:rsidRPr="002F4565">
        <w:rPr>
          <w:lang w:val="pt-BR"/>
        </w:rPr>
        <w:t>s</w:t>
      </w:r>
      <w:r w:rsidR="00FB4401" w:rsidRPr="002F4565">
        <w:rPr>
          <w:lang w:val="pt-BR"/>
        </w:rPr>
        <w:t xml:space="preserve"> fabricantes controlam mais de um terço do mercado </w:t>
      </w:r>
      <w:proofErr w:type="gramStart"/>
      <w:r w:rsidRPr="002F4565">
        <w:rPr>
          <w:lang w:val="pt-BR"/>
        </w:rPr>
        <w:t>global.</w:t>
      </w:r>
      <w:proofErr w:type="gramEnd"/>
      <w:r w:rsidRPr="002F4565">
        <w:rPr>
          <w:vertAlign w:val="superscript"/>
          <w:lang w:val="pt-BR"/>
        </w:rPr>
        <w:t>15</w:t>
      </w:r>
      <w:r w:rsidRPr="002F4565">
        <w:rPr>
          <w:lang w:val="pt-BR"/>
        </w:rPr>
        <w:t xml:space="preserve"> </w:t>
      </w:r>
      <w:r w:rsidR="00FB4401" w:rsidRPr="002F4565">
        <w:rPr>
          <w:lang w:val="pt-BR"/>
        </w:rPr>
        <w:t xml:space="preserve">As </w:t>
      </w:r>
      <w:r w:rsidRPr="002F4565">
        <w:rPr>
          <w:lang w:val="pt-BR"/>
        </w:rPr>
        <w:t>TNCs</w:t>
      </w:r>
      <w:r w:rsidR="00FB4401" w:rsidRPr="002F4565">
        <w:rPr>
          <w:lang w:val="pt-BR"/>
        </w:rPr>
        <w:t>,</w:t>
      </w:r>
      <w:r w:rsidRPr="002F4565">
        <w:rPr>
          <w:lang w:val="pt-BR"/>
        </w:rPr>
        <w:t xml:space="preserve"> </w:t>
      </w:r>
      <w:r w:rsidR="00FB4401" w:rsidRPr="002F4565">
        <w:rPr>
          <w:lang w:val="pt-BR"/>
        </w:rPr>
        <w:t>portanto</w:t>
      </w:r>
      <w:r w:rsidR="00251FF5" w:rsidRPr="002F4565">
        <w:rPr>
          <w:lang w:val="pt-BR"/>
        </w:rPr>
        <w:t>,</w:t>
      </w:r>
      <w:r w:rsidRPr="002F4565">
        <w:rPr>
          <w:lang w:val="pt-BR"/>
        </w:rPr>
        <w:t xml:space="preserve"> </w:t>
      </w:r>
      <w:r w:rsidR="00251FF5" w:rsidRPr="002F4565">
        <w:rPr>
          <w:lang w:val="pt-BR"/>
        </w:rPr>
        <w:t xml:space="preserve">são </w:t>
      </w:r>
      <w:r w:rsidR="00FB4401" w:rsidRPr="002F4565">
        <w:rPr>
          <w:lang w:val="pt-BR"/>
        </w:rPr>
        <w:t>um elo fundamental na transição</w:t>
      </w:r>
      <w:r w:rsidRPr="002F4565">
        <w:rPr>
          <w:lang w:val="pt-BR"/>
        </w:rPr>
        <w:t xml:space="preserve"> </w:t>
      </w:r>
      <w:r w:rsidR="00FB4401" w:rsidRPr="002F4565">
        <w:rPr>
          <w:lang w:val="pt-BR"/>
        </w:rPr>
        <w:t xml:space="preserve">entre os </w:t>
      </w:r>
      <w:r w:rsidR="00261A8A" w:rsidRPr="002F4565">
        <w:rPr>
          <w:lang w:val="pt-BR"/>
        </w:rPr>
        <w:t>alimentos</w:t>
      </w:r>
      <w:r w:rsidR="00FB4401" w:rsidRPr="002F4565">
        <w:rPr>
          <w:lang w:val="pt-BR"/>
        </w:rPr>
        <w:t xml:space="preserve"> minimamente processados para os </w:t>
      </w:r>
      <w:r w:rsidR="007D3BE3" w:rsidRPr="002F4565">
        <w:rPr>
          <w:lang w:val="pt-BR"/>
        </w:rPr>
        <w:t>altamente processados</w:t>
      </w:r>
      <w:r w:rsidRPr="002F4565">
        <w:rPr>
          <w:lang w:val="pt-BR"/>
        </w:rPr>
        <w:t xml:space="preserve">. </w:t>
      </w:r>
      <w:r w:rsidR="00FB4401" w:rsidRPr="002F4565">
        <w:rPr>
          <w:lang w:val="pt-BR"/>
        </w:rPr>
        <w:t>T</w:t>
      </w:r>
      <w:r w:rsidR="00F21F55" w:rsidRPr="002F4565">
        <w:rPr>
          <w:lang w:val="pt-BR"/>
        </w:rPr>
        <w:t>ambém</w:t>
      </w:r>
      <w:r w:rsidR="00FB4401" w:rsidRPr="002F4565">
        <w:rPr>
          <w:lang w:val="pt-BR"/>
        </w:rPr>
        <w:t xml:space="preserve"> influenciam </w:t>
      </w:r>
      <w:r w:rsidR="00251FF5" w:rsidRPr="002F4565">
        <w:rPr>
          <w:lang w:val="pt-BR"/>
        </w:rPr>
        <w:t xml:space="preserve">substancialmente </w:t>
      </w:r>
      <w:r w:rsidR="00FB4401" w:rsidRPr="002F4565">
        <w:rPr>
          <w:lang w:val="pt-BR"/>
        </w:rPr>
        <w:t xml:space="preserve">a venda </w:t>
      </w:r>
      <w:r w:rsidR="0049090C" w:rsidRPr="002F4565">
        <w:rPr>
          <w:lang w:val="pt-BR"/>
        </w:rPr>
        <w:t>e</w:t>
      </w:r>
      <w:r w:rsidRPr="002F4565">
        <w:rPr>
          <w:lang w:val="pt-BR"/>
        </w:rPr>
        <w:t xml:space="preserve">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FB4DE4" w:rsidRPr="002F4565">
        <w:rPr>
          <w:lang w:val="pt-BR"/>
        </w:rPr>
        <w:t>em</w:t>
      </w:r>
      <w:r w:rsidRPr="002F4565">
        <w:rPr>
          <w:lang w:val="pt-BR"/>
        </w:rPr>
        <w:t xml:space="preserve"> </w:t>
      </w:r>
      <w:r w:rsidR="00FB4401" w:rsidRPr="002F4565">
        <w:rPr>
          <w:lang w:val="pt-BR"/>
        </w:rPr>
        <w:t>comparação</w:t>
      </w:r>
      <w:r w:rsidRPr="002F4565">
        <w:rPr>
          <w:lang w:val="pt-BR"/>
        </w:rPr>
        <w:t xml:space="preserve"> </w:t>
      </w:r>
      <w:r w:rsidR="00FB4401" w:rsidRPr="002F4565">
        <w:rPr>
          <w:lang w:val="pt-BR"/>
        </w:rPr>
        <w:t xml:space="preserve">com a promoção da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w:t>
      </w:r>
      <w:r w:rsidR="00F21F55" w:rsidRPr="002F4565">
        <w:rPr>
          <w:lang w:val="pt-BR"/>
        </w:rPr>
        <w:t>acessibilidade</w:t>
      </w:r>
      <w:r w:rsidRPr="002F4565">
        <w:rPr>
          <w:lang w:val="pt-BR"/>
        </w:rPr>
        <w:t xml:space="preserve"> </w:t>
      </w:r>
      <w:r w:rsidR="0049090C" w:rsidRPr="002F4565">
        <w:rPr>
          <w:lang w:val="pt-BR"/>
        </w:rPr>
        <w:t>de</w:t>
      </w:r>
      <w:r w:rsidRPr="002F4565">
        <w:rPr>
          <w:lang w:val="pt-BR"/>
        </w:rPr>
        <w:t xml:space="preserve"> </w:t>
      </w:r>
      <w:r w:rsidR="00FB4401" w:rsidRPr="002F4565">
        <w:rPr>
          <w:lang w:val="pt-BR"/>
        </w:rPr>
        <w:t>alimentos saudáveis</w:t>
      </w:r>
      <w:r w:rsidRPr="002F4565">
        <w:rPr>
          <w:lang w:val="pt-BR"/>
        </w:rPr>
        <w:t xml:space="preserve"> </w:t>
      </w:r>
      <w:r w:rsidR="00B5729E" w:rsidRPr="002F4565">
        <w:rPr>
          <w:lang w:val="pt-BR"/>
        </w:rPr>
        <w:t xml:space="preserve">dentro do sistema </w:t>
      </w:r>
      <w:proofErr w:type="gramStart"/>
      <w:r w:rsidR="0049090C" w:rsidRPr="002F4565">
        <w:rPr>
          <w:lang w:val="pt-BR"/>
        </w:rPr>
        <w:t>aliment</w:t>
      </w:r>
      <w:r w:rsidR="00B5729E" w:rsidRPr="002F4565">
        <w:rPr>
          <w:lang w:val="pt-BR"/>
        </w:rPr>
        <w:t>ar</w:t>
      </w:r>
      <w:r w:rsidRPr="002F4565">
        <w:rPr>
          <w:lang w:val="pt-BR"/>
        </w:rPr>
        <w:t>.</w:t>
      </w:r>
      <w:proofErr w:type="gramEnd"/>
      <w:r w:rsidRPr="002F4565">
        <w:rPr>
          <w:vertAlign w:val="superscript"/>
          <w:lang w:val="pt-BR"/>
        </w:rPr>
        <w:t>16</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6. </w:t>
      </w:r>
      <w:r w:rsidR="00B5729E" w:rsidRPr="002F4565">
        <w:rPr>
          <w:lang w:val="pt-BR"/>
        </w:rPr>
        <w:t xml:space="preserve">A </w:t>
      </w:r>
      <w:r w:rsidR="00FB4DE4" w:rsidRPr="002F4565">
        <w:rPr>
          <w:lang w:val="pt-BR"/>
        </w:rPr>
        <w:t>tecno</w:t>
      </w:r>
      <w:r w:rsidRPr="002F4565">
        <w:rPr>
          <w:lang w:val="pt-BR"/>
        </w:rPr>
        <w:t>l</w:t>
      </w:r>
      <w:r w:rsidR="00FB4DE4" w:rsidRPr="002F4565">
        <w:rPr>
          <w:lang w:val="pt-BR"/>
        </w:rPr>
        <w:t>ogia</w:t>
      </w:r>
      <w:r w:rsidRPr="002F4565">
        <w:rPr>
          <w:lang w:val="pt-BR"/>
        </w:rPr>
        <w:t xml:space="preserve"> </w:t>
      </w:r>
      <w:r w:rsidR="00B5729E" w:rsidRPr="002F4565">
        <w:rPr>
          <w:lang w:val="pt-BR"/>
        </w:rPr>
        <w:t xml:space="preserve">industrial </w:t>
      </w:r>
      <w:r w:rsidRPr="002F4565">
        <w:rPr>
          <w:lang w:val="pt-BR"/>
        </w:rPr>
        <w:t>contribu</w:t>
      </w:r>
      <w:r w:rsidR="00B5729E" w:rsidRPr="002F4565">
        <w:rPr>
          <w:lang w:val="pt-BR"/>
        </w:rPr>
        <w:t>i para o domínio</w:t>
      </w:r>
      <w:r w:rsidRPr="002F4565">
        <w:rPr>
          <w:lang w:val="pt-BR"/>
        </w:rPr>
        <w:t xml:space="preserve"> </w:t>
      </w:r>
      <w:r w:rsidR="0049090C" w:rsidRPr="002F4565">
        <w:rPr>
          <w:lang w:val="pt-BR"/>
        </w:rPr>
        <w:t>d</w:t>
      </w:r>
      <w:r w:rsidR="00B5729E" w:rsidRPr="002F4565">
        <w:rPr>
          <w:lang w:val="pt-BR"/>
        </w:rPr>
        <w:t>a</w:t>
      </w:r>
      <w:r w:rsidRPr="002F4565">
        <w:rPr>
          <w:lang w:val="pt-BR"/>
        </w:rPr>
        <w:t xml:space="preserve"> TNCs </w:t>
      </w:r>
      <w:r w:rsidR="00B5729E" w:rsidRPr="002F4565">
        <w:rPr>
          <w:lang w:val="pt-BR"/>
        </w:rPr>
        <w:t xml:space="preserve">no </w:t>
      </w:r>
      <w:r w:rsidR="00FB4401" w:rsidRPr="002F4565">
        <w:rPr>
          <w:lang w:val="pt-BR"/>
        </w:rPr>
        <w:t>sistema</w:t>
      </w:r>
      <w:r w:rsidR="00B5729E" w:rsidRPr="002F4565">
        <w:rPr>
          <w:lang w:val="pt-BR"/>
        </w:rPr>
        <w:t xml:space="preserve"> alimentar</w:t>
      </w:r>
      <w:r w:rsidR="00251FF5" w:rsidRPr="002F4565">
        <w:rPr>
          <w:lang w:val="pt-BR"/>
        </w:rPr>
        <w:t xml:space="preserve"> moderno</w:t>
      </w:r>
      <w:r w:rsidRPr="002F4565">
        <w:rPr>
          <w:lang w:val="pt-BR"/>
        </w:rPr>
        <w:t xml:space="preserve">. </w:t>
      </w:r>
      <w:r w:rsidR="0049090C" w:rsidRPr="002F4565">
        <w:rPr>
          <w:lang w:val="pt-BR"/>
        </w:rPr>
        <w:t>O</w:t>
      </w:r>
      <w:r w:rsidRPr="002F4565">
        <w:rPr>
          <w:lang w:val="pt-BR"/>
        </w:rPr>
        <w:t xml:space="preserve"> us</w:t>
      </w:r>
      <w:r w:rsidR="00B5729E" w:rsidRPr="002F4565">
        <w:rPr>
          <w:lang w:val="pt-BR"/>
        </w:rPr>
        <w:t>o</w:t>
      </w:r>
      <w:r w:rsidRPr="002F4565">
        <w:rPr>
          <w:lang w:val="pt-BR"/>
        </w:rPr>
        <w:t xml:space="preserve"> </w:t>
      </w:r>
      <w:r w:rsidR="0049090C" w:rsidRPr="002F4565">
        <w:rPr>
          <w:lang w:val="pt-BR"/>
        </w:rPr>
        <w:t>de</w:t>
      </w:r>
      <w:r w:rsidRPr="002F4565">
        <w:rPr>
          <w:lang w:val="pt-BR"/>
        </w:rPr>
        <w:t xml:space="preserve"> agro</w:t>
      </w:r>
      <w:r w:rsidR="00B5729E" w:rsidRPr="002F4565">
        <w:rPr>
          <w:lang w:val="pt-BR"/>
        </w:rPr>
        <w:t>químicos</w:t>
      </w:r>
      <w:r w:rsidRPr="002F4565">
        <w:rPr>
          <w:lang w:val="pt-BR"/>
        </w:rPr>
        <w:t xml:space="preserve"> </w:t>
      </w:r>
      <w:r w:rsidR="0049090C" w:rsidRPr="002F4565">
        <w:rPr>
          <w:lang w:val="pt-BR"/>
        </w:rPr>
        <w:t>e</w:t>
      </w:r>
      <w:r w:rsidRPr="002F4565">
        <w:rPr>
          <w:lang w:val="pt-BR"/>
        </w:rPr>
        <w:t xml:space="preserve"> </w:t>
      </w:r>
      <w:r w:rsidR="00B5729E" w:rsidRPr="002F4565">
        <w:rPr>
          <w:lang w:val="pt-BR"/>
        </w:rPr>
        <w:t xml:space="preserve">sementes híbridas na atividade rural </w:t>
      </w:r>
      <w:r w:rsidR="0049090C" w:rsidRPr="002F4565">
        <w:rPr>
          <w:lang w:val="pt-BR"/>
        </w:rPr>
        <w:t>e</w:t>
      </w:r>
      <w:r w:rsidRPr="002F4565">
        <w:rPr>
          <w:lang w:val="pt-BR"/>
        </w:rPr>
        <w:t xml:space="preserve"> </w:t>
      </w:r>
      <w:r w:rsidR="00B5729E" w:rsidRPr="002F4565">
        <w:rPr>
          <w:lang w:val="pt-BR"/>
        </w:rPr>
        <w:t xml:space="preserve">a </w:t>
      </w:r>
      <w:r w:rsidR="00FB4DE4" w:rsidRPr="002F4565">
        <w:rPr>
          <w:lang w:val="pt-BR"/>
        </w:rPr>
        <w:t>tecno</w:t>
      </w:r>
      <w:r w:rsidRPr="002F4565">
        <w:rPr>
          <w:lang w:val="pt-BR"/>
        </w:rPr>
        <w:t>l</w:t>
      </w:r>
      <w:r w:rsidR="00FB4DE4" w:rsidRPr="002F4565">
        <w:rPr>
          <w:lang w:val="pt-BR"/>
        </w:rPr>
        <w:t>ogia</w:t>
      </w:r>
      <w:r w:rsidRPr="002F4565">
        <w:rPr>
          <w:lang w:val="pt-BR"/>
        </w:rPr>
        <w:t xml:space="preserve"> </w:t>
      </w:r>
      <w:r w:rsidR="00B5729E" w:rsidRPr="002F4565">
        <w:rPr>
          <w:lang w:val="pt-BR"/>
        </w:rPr>
        <w:t>d</w:t>
      </w:r>
      <w:r w:rsidR="00251FF5" w:rsidRPr="002F4565">
        <w:rPr>
          <w:lang w:val="pt-BR"/>
        </w:rPr>
        <w:t>e</w:t>
      </w:r>
      <w:r w:rsidR="00B5729E" w:rsidRPr="002F4565">
        <w:rPr>
          <w:lang w:val="pt-BR"/>
        </w:rPr>
        <w:t xml:space="preserve"> extração no</w:t>
      </w:r>
      <w:r w:rsidRPr="002F4565">
        <w:rPr>
          <w:lang w:val="pt-BR"/>
        </w:rPr>
        <w:t xml:space="preserve"> </w:t>
      </w:r>
      <w:r w:rsidR="00FB4DE4" w:rsidRPr="002F4565">
        <w:rPr>
          <w:lang w:val="pt-BR"/>
        </w:rPr>
        <w:t>processamento</w:t>
      </w:r>
      <w:r w:rsidRPr="002F4565">
        <w:rPr>
          <w:lang w:val="pt-BR"/>
        </w:rPr>
        <w:t xml:space="preserve"> </w:t>
      </w:r>
      <w:r w:rsidR="00B5729E" w:rsidRPr="002F4565">
        <w:rPr>
          <w:lang w:val="pt-BR"/>
        </w:rPr>
        <w:t xml:space="preserve">de alimentos permitiram </w:t>
      </w:r>
      <w:r w:rsidR="00251FF5" w:rsidRPr="002F4565">
        <w:rPr>
          <w:lang w:val="pt-BR"/>
        </w:rPr>
        <w:t xml:space="preserve">a </w:t>
      </w:r>
      <w:r w:rsidR="00F21F55" w:rsidRPr="002F4565">
        <w:rPr>
          <w:lang w:val="pt-BR"/>
        </w:rPr>
        <w:t>produção</w:t>
      </w:r>
      <w:r w:rsidRPr="002F4565">
        <w:rPr>
          <w:lang w:val="pt-BR"/>
        </w:rPr>
        <w:t xml:space="preserve"> </w:t>
      </w:r>
      <w:r w:rsidR="00B5729E" w:rsidRPr="002F4565">
        <w:rPr>
          <w:lang w:val="pt-BR"/>
        </w:rPr>
        <w:t xml:space="preserve">de alimentos em grande escala a custos </w:t>
      </w:r>
      <w:r w:rsidRPr="002F4565">
        <w:rPr>
          <w:lang w:val="pt-BR"/>
        </w:rPr>
        <w:t>substan</w:t>
      </w:r>
      <w:r w:rsidR="00B5729E" w:rsidRPr="002F4565">
        <w:rPr>
          <w:lang w:val="pt-BR"/>
        </w:rPr>
        <w:t xml:space="preserve">cialmente </w:t>
      </w:r>
      <w:proofErr w:type="gramStart"/>
      <w:r w:rsidR="00B5729E" w:rsidRPr="002F4565">
        <w:rPr>
          <w:lang w:val="pt-BR"/>
        </w:rPr>
        <w:t>menores</w:t>
      </w:r>
      <w:r w:rsidRPr="002F4565">
        <w:rPr>
          <w:lang w:val="pt-BR"/>
        </w:rPr>
        <w:t>.</w:t>
      </w:r>
      <w:proofErr w:type="gramEnd"/>
      <w:r w:rsidRPr="002F4565">
        <w:rPr>
          <w:vertAlign w:val="superscript"/>
          <w:lang w:val="pt-BR"/>
        </w:rPr>
        <w:t>17</w:t>
      </w:r>
      <w:r w:rsidRPr="002F4565">
        <w:rPr>
          <w:lang w:val="pt-BR"/>
        </w:rPr>
        <w:t xml:space="preserve"> </w:t>
      </w:r>
    </w:p>
    <w:p w:rsidR="00115B91" w:rsidRPr="002F4565" w:rsidRDefault="00B5729E" w:rsidP="0051636A">
      <w:pPr>
        <w:spacing w:before="120" w:after="0" w:line="240" w:lineRule="auto"/>
        <w:rPr>
          <w:lang w:val="pt-BR"/>
        </w:rPr>
      </w:pPr>
      <w:r w:rsidRPr="002F4565">
        <w:rPr>
          <w:lang w:val="pt-BR"/>
        </w:rPr>
        <w:t>A adição de altos volumes de sal</w:t>
      </w:r>
      <w:r w:rsidR="00115B91" w:rsidRPr="002F4565">
        <w:rPr>
          <w:lang w:val="pt-BR"/>
        </w:rPr>
        <w:t xml:space="preserve">, </w:t>
      </w:r>
      <w:r w:rsidR="0040430A" w:rsidRPr="002F4565">
        <w:rPr>
          <w:lang w:val="pt-BR"/>
        </w:rPr>
        <w:t>gorduras</w:t>
      </w:r>
      <w:r w:rsidR="00115B91" w:rsidRPr="002F4565">
        <w:rPr>
          <w:lang w:val="pt-BR"/>
        </w:rPr>
        <w:t xml:space="preserve"> </w:t>
      </w:r>
      <w:r w:rsidRPr="002F4565">
        <w:rPr>
          <w:lang w:val="pt-BR"/>
        </w:rPr>
        <w:t xml:space="preserve">saturadas e gorduras </w:t>
      </w:r>
      <w:r w:rsidRPr="002F4565">
        <w:rPr>
          <w:i/>
          <w:lang w:val="pt-BR"/>
        </w:rPr>
        <w:t>trans</w:t>
      </w:r>
      <w:r w:rsidRPr="002F4565">
        <w:rPr>
          <w:lang w:val="pt-BR"/>
        </w:rPr>
        <w:t xml:space="preserve"> a </w:t>
      </w:r>
      <w:r w:rsidR="00261A8A" w:rsidRPr="002F4565">
        <w:rPr>
          <w:lang w:val="pt-BR"/>
        </w:rPr>
        <w:t>alimentos</w:t>
      </w:r>
      <w:r w:rsidR="00115B91" w:rsidRPr="002F4565">
        <w:rPr>
          <w:lang w:val="pt-BR"/>
        </w:rPr>
        <w:t xml:space="preserve"> </w:t>
      </w:r>
      <w:r w:rsidR="007D3BE3" w:rsidRPr="002F4565">
        <w:rPr>
          <w:lang w:val="pt-BR"/>
        </w:rPr>
        <w:t>altamente processados</w:t>
      </w:r>
      <w:r w:rsidRPr="002F4565">
        <w:rPr>
          <w:lang w:val="pt-BR"/>
        </w:rPr>
        <w:t xml:space="preserve"> aumenta</w:t>
      </w:r>
      <w:r w:rsidR="00251FF5" w:rsidRPr="002F4565">
        <w:rPr>
          <w:lang w:val="pt-BR"/>
        </w:rPr>
        <w:t>m</w:t>
      </w:r>
      <w:r w:rsidRPr="002F4565">
        <w:rPr>
          <w:lang w:val="pt-BR"/>
        </w:rPr>
        <w:t xml:space="preserve"> a vida de prateleira </w:t>
      </w:r>
      <w:r w:rsidR="0049090C" w:rsidRPr="002F4565">
        <w:rPr>
          <w:lang w:val="pt-BR"/>
        </w:rPr>
        <w:t>de</w:t>
      </w:r>
      <w:r w:rsidRPr="002F4565">
        <w:rPr>
          <w:lang w:val="pt-BR"/>
        </w:rPr>
        <w:t xml:space="preserve">stes </w:t>
      </w:r>
      <w:r w:rsidR="00261A8A" w:rsidRPr="002F4565">
        <w:rPr>
          <w:lang w:val="pt-BR"/>
        </w:rPr>
        <w:t>alimentos</w:t>
      </w:r>
      <w:r w:rsidR="00115B91" w:rsidRPr="002F4565">
        <w:rPr>
          <w:lang w:val="pt-BR"/>
        </w:rPr>
        <w:t xml:space="preserve"> </w:t>
      </w:r>
      <w:r w:rsidR="0049090C" w:rsidRPr="002F4565">
        <w:rPr>
          <w:lang w:val="pt-BR"/>
        </w:rPr>
        <w:t>e</w:t>
      </w:r>
      <w:r w:rsidR="00115B91" w:rsidRPr="002F4565">
        <w:rPr>
          <w:lang w:val="pt-BR"/>
        </w:rPr>
        <w:t xml:space="preserve"> </w:t>
      </w:r>
      <w:r w:rsidRPr="002F4565">
        <w:rPr>
          <w:lang w:val="pt-BR"/>
        </w:rPr>
        <w:t>reduz</w:t>
      </w:r>
      <w:r w:rsidR="00251FF5" w:rsidRPr="002F4565">
        <w:rPr>
          <w:lang w:val="pt-BR"/>
        </w:rPr>
        <w:t xml:space="preserve">em </w:t>
      </w:r>
      <w:r w:rsidRPr="002F4565">
        <w:rPr>
          <w:lang w:val="pt-BR"/>
        </w:rPr>
        <w:t xml:space="preserve">os custos de </w:t>
      </w:r>
      <w:r w:rsidR="00FB4DE4" w:rsidRPr="002F4565">
        <w:rPr>
          <w:lang w:val="pt-BR"/>
        </w:rPr>
        <w:t>transporte</w:t>
      </w:r>
      <w:r w:rsidR="00115B91" w:rsidRPr="002F4565">
        <w:rPr>
          <w:lang w:val="pt-BR"/>
        </w:rPr>
        <w:t xml:space="preserve">, </w:t>
      </w:r>
      <w:r w:rsidRPr="002F4565">
        <w:rPr>
          <w:lang w:val="pt-BR"/>
        </w:rPr>
        <w:t>tornando-os mais lucrativos</w:t>
      </w:r>
      <w:r w:rsidR="00115B91" w:rsidRPr="002F4565">
        <w:rPr>
          <w:lang w:val="pt-BR"/>
        </w:rPr>
        <w:t>.</w:t>
      </w:r>
    </w:p>
    <w:p w:rsidR="00115B91" w:rsidRPr="002F4565" w:rsidRDefault="00115B91" w:rsidP="0051636A">
      <w:pPr>
        <w:spacing w:before="120" w:after="0" w:line="240" w:lineRule="auto"/>
        <w:rPr>
          <w:lang w:val="pt-BR"/>
        </w:rPr>
      </w:pPr>
      <w:r w:rsidRPr="002F4565">
        <w:rPr>
          <w:lang w:val="pt-BR"/>
        </w:rPr>
        <w:t xml:space="preserve">7. </w:t>
      </w:r>
      <w:r w:rsidR="0049090C" w:rsidRPr="002F4565">
        <w:rPr>
          <w:lang w:val="pt-BR"/>
        </w:rPr>
        <w:t>O</w:t>
      </w:r>
      <w:r w:rsidR="00B5729E" w:rsidRPr="002F4565">
        <w:rPr>
          <w:lang w:val="pt-BR"/>
        </w:rPr>
        <w:t>s</w:t>
      </w:r>
      <w:r w:rsidRPr="002F4565">
        <w:rPr>
          <w:lang w:val="pt-BR"/>
        </w:rPr>
        <w:t xml:space="preserve"> “</w:t>
      </w:r>
      <w:r w:rsidR="00B5729E" w:rsidRPr="002F4565">
        <w:rPr>
          <w:lang w:val="pt-BR"/>
        </w:rPr>
        <w:t>programas de ajustes estruturais</w:t>
      </w:r>
      <w:r w:rsidRPr="002F4565">
        <w:rPr>
          <w:lang w:val="pt-BR"/>
        </w:rPr>
        <w:t xml:space="preserve">” </w:t>
      </w:r>
      <w:r w:rsidR="00B5729E" w:rsidRPr="002F4565">
        <w:rPr>
          <w:lang w:val="pt-BR"/>
        </w:rPr>
        <w:t>da década de 1980 d</w:t>
      </w:r>
      <w:r w:rsidR="00261A8A" w:rsidRPr="002F4565">
        <w:rPr>
          <w:lang w:val="pt-BR"/>
        </w:rPr>
        <w:t>o</w:t>
      </w:r>
      <w:r w:rsidRPr="002F4565">
        <w:rPr>
          <w:lang w:val="pt-BR"/>
        </w:rPr>
        <w:t xml:space="preserve"> </w:t>
      </w:r>
      <w:r w:rsidR="00B5729E" w:rsidRPr="002F4565">
        <w:rPr>
          <w:lang w:val="pt-BR"/>
        </w:rPr>
        <w:t xml:space="preserve">Fundo Monetário </w:t>
      </w:r>
      <w:r w:rsidR="005A25F5" w:rsidRPr="002F4565">
        <w:rPr>
          <w:lang w:val="pt-BR"/>
        </w:rPr>
        <w:t>Internacional</w:t>
      </w:r>
      <w:r w:rsidRPr="002F4565">
        <w:rPr>
          <w:lang w:val="pt-BR"/>
        </w:rPr>
        <w:t xml:space="preserve"> </w:t>
      </w:r>
      <w:r w:rsidR="0049090C" w:rsidRPr="002F4565">
        <w:rPr>
          <w:lang w:val="pt-BR"/>
        </w:rPr>
        <w:t>e</w:t>
      </w:r>
      <w:r w:rsidRPr="002F4565">
        <w:rPr>
          <w:lang w:val="pt-BR"/>
        </w:rPr>
        <w:t xml:space="preserve"> </w:t>
      </w:r>
      <w:r w:rsidR="00B5729E" w:rsidRPr="002F4565">
        <w:rPr>
          <w:lang w:val="pt-BR"/>
        </w:rPr>
        <w:t xml:space="preserve">do Banco Mundial incentivaram os </w:t>
      </w:r>
      <w:r w:rsidR="00FB4DE4" w:rsidRPr="002F4565">
        <w:rPr>
          <w:lang w:val="pt-BR"/>
        </w:rPr>
        <w:t xml:space="preserve">países em desenvolvimento </w:t>
      </w:r>
      <w:r w:rsidR="00B5729E" w:rsidRPr="002F4565">
        <w:rPr>
          <w:lang w:val="pt-BR"/>
        </w:rPr>
        <w:t>a</w:t>
      </w:r>
      <w:r w:rsidRPr="002F4565">
        <w:rPr>
          <w:lang w:val="pt-BR"/>
        </w:rPr>
        <w:t xml:space="preserve"> </w:t>
      </w:r>
      <w:r w:rsidR="00B5729E" w:rsidRPr="002F4565">
        <w:rPr>
          <w:lang w:val="pt-BR"/>
        </w:rPr>
        <w:t xml:space="preserve">abrir os </w:t>
      </w:r>
      <w:r w:rsidR="00FB4401" w:rsidRPr="002F4565">
        <w:rPr>
          <w:lang w:val="pt-BR"/>
        </w:rPr>
        <w:t>mercado</w:t>
      </w:r>
      <w:r w:rsidRPr="002F4565">
        <w:rPr>
          <w:lang w:val="pt-BR"/>
        </w:rPr>
        <w:t xml:space="preserve">s, </w:t>
      </w:r>
      <w:r w:rsidR="00F21F55" w:rsidRPr="002F4565">
        <w:rPr>
          <w:lang w:val="pt-BR"/>
        </w:rPr>
        <w:t>inclusive</w:t>
      </w:r>
      <w:r w:rsidRPr="002F4565">
        <w:rPr>
          <w:lang w:val="pt-BR"/>
        </w:rPr>
        <w:t xml:space="preserve"> </w:t>
      </w:r>
      <w:r w:rsidR="00261A8A" w:rsidRPr="002F4565">
        <w:rPr>
          <w:lang w:val="pt-BR"/>
        </w:rPr>
        <w:t>o</w:t>
      </w:r>
      <w:r w:rsidRPr="002F4565">
        <w:rPr>
          <w:lang w:val="pt-BR"/>
        </w:rPr>
        <w:t xml:space="preserve"> </w:t>
      </w:r>
      <w:r w:rsidR="0049090C" w:rsidRPr="002F4565">
        <w:rPr>
          <w:lang w:val="pt-BR"/>
        </w:rPr>
        <w:t>setor de alimentos</w:t>
      </w:r>
      <w:r w:rsidRPr="002F4565">
        <w:rPr>
          <w:lang w:val="pt-BR"/>
        </w:rPr>
        <w:t xml:space="preserve">, </w:t>
      </w:r>
      <w:r w:rsidR="00B5729E" w:rsidRPr="002F4565">
        <w:rPr>
          <w:lang w:val="pt-BR"/>
        </w:rPr>
        <w:t xml:space="preserve">ao </w:t>
      </w:r>
      <w:r w:rsidR="00251FF5" w:rsidRPr="002F4565">
        <w:rPr>
          <w:lang w:val="pt-BR"/>
        </w:rPr>
        <w:t>comércio</w:t>
      </w:r>
      <w:r w:rsidR="00B5729E" w:rsidRPr="002F4565">
        <w:rPr>
          <w:lang w:val="pt-BR"/>
        </w:rPr>
        <w:t xml:space="preserve"> exterior como parte das condições de </w:t>
      </w:r>
      <w:r w:rsidR="00251FF5" w:rsidRPr="002F4565">
        <w:rPr>
          <w:lang w:val="pt-BR"/>
        </w:rPr>
        <w:t xml:space="preserve">realização </w:t>
      </w:r>
      <w:r w:rsidR="00B5729E" w:rsidRPr="002F4565">
        <w:rPr>
          <w:lang w:val="pt-BR"/>
        </w:rPr>
        <w:t>de empréstimo</w:t>
      </w:r>
      <w:r w:rsidR="00251FF5" w:rsidRPr="002F4565">
        <w:rPr>
          <w:lang w:val="pt-BR"/>
        </w:rPr>
        <w:t>s</w:t>
      </w:r>
      <w:r w:rsidRPr="002F4565">
        <w:rPr>
          <w:lang w:val="pt-BR"/>
        </w:rPr>
        <w:t xml:space="preserve">. </w:t>
      </w:r>
      <w:r w:rsidR="00B5729E" w:rsidRPr="002F4565">
        <w:rPr>
          <w:lang w:val="pt-BR"/>
        </w:rPr>
        <w:t>Os acordos negociados na Organização Mundial do Comércio</w:t>
      </w:r>
      <w:r w:rsidRPr="002F4565">
        <w:rPr>
          <w:lang w:val="pt-BR"/>
        </w:rPr>
        <w:t xml:space="preserve"> </w:t>
      </w:r>
      <w:r w:rsidR="00B5729E" w:rsidRPr="002F4565">
        <w:rPr>
          <w:lang w:val="pt-BR"/>
        </w:rPr>
        <w:t xml:space="preserve">buscavam maior </w:t>
      </w:r>
      <w:r w:rsidRPr="002F4565">
        <w:rPr>
          <w:lang w:val="pt-BR"/>
        </w:rPr>
        <w:t>integr</w:t>
      </w:r>
      <w:r w:rsidR="00F21F55" w:rsidRPr="002F4565">
        <w:rPr>
          <w:lang w:val="pt-BR"/>
        </w:rPr>
        <w:t>ação</w:t>
      </w:r>
      <w:r w:rsidRPr="002F4565">
        <w:rPr>
          <w:lang w:val="pt-BR"/>
        </w:rPr>
        <w:t xml:space="preserve"> </w:t>
      </w:r>
      <w:r w:rsidR="00B5729E" w:rsidRPr="002F4565">
        <w:rPr>
          <w:lang w:val="pt-BR"/>
        </w:rPr>
        <w:t>de mercado ao reduzir as barreiras tarifárias e não tarifárias ao comércio</w:t>
      </w:r>
      <w:r w:rsidRPr="002F4565">
        <w:rPr>
          <w:lang w:val="pt-BR"/>
        </w:rPr>
        <w:t xml:space="preserve">, </w:t>
      </w:r>
      <w:r w:rsidR="00B5729E" w:rsidRPr="002F4565">
        <w:rPr>
          <w:lang w:val="pt-BR"/>
        </w:rPr>
        <w:t xml:space="preserve">reduzindo os subsídios de exportação </w:t>
      </w:r>
      <w:r w:rsidR="0049090C" w:rsidRPr="002F4565">
        <w:rPr>
          <w:lang w:val="pt-BR"/>
        </w:rPr>
        <w:t>e</w:t>
      </w:r>
      <w:r w:rsidRPr="002F4565">
        <w:rPr>
          <w:lang w:val="pt-BR"/>
        </w:rPr>
        <w:t xml:space="preserve"> </w:t>
      </w:r>
      <w:r w:rsidR="00B5729E" w:rsidRPr="002F4565">
        <w:rPr>
          <w:lang w:val="pt-BR"/>
        </w:rPr>
        <w:t xml:space="preserve">removendo as </w:t>
      </w:r>
      <w:r w:rsidR="00F21F55" w:rsidRPr="002F4565">
        <w:rPr>
          <w:lang w:val="pt-BR"/>
        </w:rPr>
        <w:t>proteções</w:t>
      </w:r>
      <w:r w:rsidRPr="002F4565">
        <w:rPr>
          <w:lang w:val="pt-BR"/>
        </w:rPr>
        <w:t xml:space="preserve"> </w:t>
      </w:r>
      <w:r w:rsidR="0049090C" w:rsidRPr="002F4565">
        <w:rPr>
          <w:lang w:val="pt-BR"/>
        </w:rPr>
        <w:t>d</w:t>
      </w:r>
      <w:r w:rsidR="00B5729E" w:rsidRPr="002F4565">
        <w:rPr>
          <w:lang w:val="pt-BR"/>
        </w:rPr>
        <w:t>a</w:t>
      </w:r>
      <w:r w:rsidR="00251FF5" w:rsidRPr="002F4565">
        <w:rPr>
          <w:lang w:val="pt-BR"/>
        </w:rPr>
        <w:t>s</w:t>
      </w:r>
      <w:r w:rsidRPr="002F4565">
        <w:rPr>
          <w:lang w:val="pt-BR"/>
        </w:rPr>
        <w:t xml:space="preserve"> </w:t>
      </w:r>
      <w:r w:rsidR="00802E44" w:rsidRPr="002F4565">
        <w:rPr>
          <w:lang w:val="pt-BR"/>
        </w:rPr>
        <w:t>indústria</w:t>
      </w:r>
      <w:r w:rsidR="00251FF5" w:rsidRPr="002F4565">
        <w:rPr>
          <w:lang w:val="pt-BR"/>
        </w:rPr>
        <w:t>s</w:t>
      </w:r>
      <w:r w:rsidRPr="002F4565">
        <w:rPr>
          <w:lang w:val="pt-BR"/>
        </w:rPr>
        <w:t xml:space="preserve"> </w:t>
      </w:r>
      <w:r w:rsidR="00B5729E" w:rsidRPr="002F4565">
        <w:rPr>
          <w:lang w:val="pt-BR"/>
        </w:rPr>
        <w:t xml:space="preserve">nacionais de promover um fluxo mais livre </w:t>
      </w:r>
      <w:r w:rsidR="0049090C" w:rsidRPr="002F4565">
        <w:rPr>
          <w:lang w:val="pt-BR"/>
        </w:rPr>
        <w:t>de</w:t>
      </w:r>
      <w:r w:rsidRPr="002F4565">
        <w:rPr>
          <w:lang w:val="pt-BR"/>
        </w:rPr>
        <w:t xml:space="preserve"> </w:t>
      </w:r>
      <w:r w:rsidR="00B5729E" w:rsidRPr="002F4565">
        <w:rPr>
          <w:lang w:val="pt-BR"/>
        </w:rPr>
        <w:t xml:space="preserve">bens </w:t>
      </w:r>
      <w:r w:rsidR="0049090C" w:rsidRPr="002F4565">
        <w:rPr>
          <w:lang w:val="pt-BR"/>
        </w:rPr>
        <w:t>e</w:t>
      </w:r>
      <w:r w:rsidRPr="002F4565">
        <w:rPr>
          <w:lang w:val="pt-BR"/>
        </w:rPr>
        <w:t xml:space="preserve"> </w:t>
      </w:r>
      <w:proofErr w:type="gramStart"/>
      <w:r w:rsidR="00B5729E" w:rsidRPr="002F4565">
        <w:rPr>
          <w:lang w:val="pt-BR"/>
        </w:rPr>
        <w:t>serviços</w:t>
      </w:r>
      <w:r w:rsidRPr="002F4565">
        <w:rPr>
          <w:lang w:val="pt-BR"/>
        </w:rPr>
        <w:t>.</w:t>
      </w:r>
      <w:proofErr w:type="gramEnd"/>
      <w:r w:rsidRPr="002F4565">
        <w:rPr>
          <w:vertAlign w:val="superscript"/>
          <w:lang w:val="pt-BR"/>
        </w:rPr>
        <w:t>18</w:t>
      </w:r>
      <w:r w:rsidRPr="002F4565">
        <w:rPr>
          <w:lang w:val="pt-BR"/>
        </w:rPr>
        <w:t xml:space="preserve"> </w:t>
      </w:r>
      <w:r w:rsidR="00B5729E" w:rsidRPr="002F4565">
        <w:rPr>
          <w:lang w:val="pt-BR"/>
        </w:rPr>
        <w:t xml:space="preserve">Estas </w:t>
      </w:r>
      <w:r w:rsidR="0049090C" w:rsidRPr="002F4565">
        <w:rPr>
          <w:lang w:val="pt-BR"/>
        </w:rPr>
        <w:t>políticas</w:t>
      </w:r>
      <w:r w:rsidRPr="002F4565">
        <w:rPr>
          <w:lang w:val="pt-BR"/>
        </w:rPr>
        <w:t xml:space="preserve"> </w:t>
      </w:r>
      <w:r w:rsidR="00B5729E" w:rsidRPr="002F4565">
        <w:rPr>
          <w:lang w:val="pt-BR"/>
        </w:rPr>
        <w:t>for</w:t>
      </w:r>
      <w:r w:rsidR="00251FF5" w:rsidRPr="002F4565">
        <w:rPr>
          <w:lang w:val="pt-BR"/>
        </w:rPr>
        <w:t>a</w:t>
      </w:r>
      <w:r w:rsidR="00B5729E" w:rsidRPr="002F4565">
        <w:rPr>
          <w:lang w:val="pt-BR"/>
        </w:rPr>
        <w:t xml:space="preserve">m </w:t>
      </w:r>
      <w:r w:rsidRPr="002F4565">
        <w:rPr>
          <w:lang w:val="pt-BR"/>
        </w:rPr>
        <w:t>implement</w:t>
      </w:r>
      <w:r w:rsidR="00B5729E" w:rsidRPr="002F4565">
        <w:rPr>
          <w:lang w:val="pt-BR"/>
        </w:rPr>
        <w:t xml:space="preserve">adas como </w:t>
      </w:r>
      <w:r w:rsidR="00251FF5" w:rsidRPr="002F4565">
        <w:rPr>
          <w:lang w:val="pt-BR"/>
        </w:rPr>
        <w:t xml:space="preserve">forma </w:t>
      </w:r>
      <w:r w:rsidR="00B5729E" w:rsidRPr="002F4565">
        <w:rPr>
          <w:lang w:val="pt-BR"/>
        </w:rPr>
        <w:t xml:space="preserve">de aumentar a eficiência </w:t>
      </w:r>
      <w:r w:rsidR="0049090C" w:rsidRPr="002F4565">
        <w:rPr>
          <w:lang w:val="pt-BR"/>
        </w:rPr>
        <w:t>d</w:t>
      </w:r>
      <w:r w:rsidR="00261A8A" w:rsidRPr="002F4565">
        <w:rPr>
          <w:lang w:val="pt-BR"/>
        </w:rPr>
        <w:t>o</w:t>
      </w:r>
      <w:r w:rsidRPr="002F4565">
        <w:rPr>
          <w:lang w:val="pt-BR"/>
        </w:rPr>
        <w:t xml:space="preserve"> </w:t>
      </w:r>
      <w:r w:rsidR="00B5729E" w:rsidRPr="002F4565">
        <w:rPr>
          <w:lang w:val="pt-BR"/>
        </w:rPr>
        <w:t>sistema alimentar</w:t>
      </w:r>
      <w:r w:rsidRPr="002F4565">
        <w:rPr>
          <w:lang w:val="pt-BR"/>
        </w:rPr>
        <w:t xml:space="preserve"> </w:t>
      </w:r>
      <w:r w:rsidR="00B5729E" w:rsidRPr="002F4565">
        <w:rPr>
          <w:lang w:val="pt-BR"/>
        </w:rPr>
        <w:t xml:space="preserve">na produção de </w:t>
      </w:r>
      <w:r w:rsidR="00261A8A" w:rsidRPr="002F4565">
        <w:rPr>
          <w:lang w:val="pt-BR"/>
        </w:rPr>
        <w:t>alimentos</w:t>
      </w:r>
      <w:r w:rsidRPr="002F4565">
        <w:rPr>
          <w:lang w:val="pt-BR"/>
        </w:rPr>
        <w:t xml:space="preserve"> </w:t>
      </w:r>
      <w:r w:rsidR="00B5729E" w:rsidRPr="002F4565">
        <w:rPr>
          <w:lang w:val="pt-BR"/>
        </w:rPr>
        <w:t xml:space="preserve">de </w:t>
      </w:r>
      <w:r w:rsidR="006A31E1" w:rsidRPr="002F4565">
        <w:rPr>
          <w:lang w:val="pt-BR"/>
        </w:rPr>
        <w:t>que</w:t>
      </w:r>
      <w:r w:rsidRPr="002F4565">
        <w:rPr>
          <w:lang w:val="pt-BR"/>
        </w:rPr>
        <w:t xml:space="preserve"> </w:t>
      </w:r>
      <w:r w:rsidR="00B5729E" w:rsidRPr="002F4565">
        <w:rPr>
          <w:lang w:val="pt-BR"/>
        </w:rPr>
        <w:t xml:space="preserve">as </w:t>
      </w:r>
      <w:r w:rsidR="006A31E1" w:rsidRPr="002F4565">
        <w:rPr>
          <w:lang w:val="pt-BR"/>
        </w:rPr>
        <w:t>pessoas</w:t>
      </w:r>
      <w:r w:rsidRPr="002F4565">
        <w:rPr>
          <w:lang w:val="pt-BR"/>
        </w:rPr>
        <w:t xml:space="preserve"> </w:t>
      </w:r>
      <w:r w:rsidR="00B5729E" w:rsidRPr="002F4565">
        <w:rPr>
          <w:lang w:val="pt-BR"/>
        </w:rPr>
        <w:t xml:space="preserve">necessitavam </w:t>
      </w:r>
      <w:r w:rsidR="0049090C" w:rsidRPr="002F4565">
        <w:rPr>
          <w:lang w:val="pt-BR"/>
        </w:rPr>
        <w:t>e</w:t>
      </w:r>
      <w:r w:rsidRPr="002F4565">
        <w:rPr>
          <w:lang w:val="pt-BR"/>
        </w:rPr>
        <w:t xml:space="preserve"> </w:t>
      </w:r>
      <w:r w:rsidR="00251FF5" w:rsidRPr="002F4565">
        <w:rPr>
          <w:lang w:val="pt-BR"/>
        </w:rPr>
        <w:t xml:space="preserve">que </w:t>
      </w:r>
      <w:r w:rsidR="00B5729E" w:rsidRPr="002F4565">
        <w:rPr>
          <w:lang w:val="pt-BR"/>
        </w:rPr>
        <w:t>desejavam</w:t>
      </w:r>
      <w:r w:rsidRPr="002F4565">
        <w:rPr>
          <w:lang w:val="pt-BR"/>
        </w:rPr>
        <w:t xml:space="preserve">, </w:t>
      </w:r>
      <w:r w:rsidR="0040430A" w:rsidRPr="002F4565">
        <w:rPr>
          <w:lang w:val="pt-BR"/>
        </w:rPr>
        <w:t>mas</w:t>
      </w:r>
      <w:r w:rsidRPr="002F4565">
        <w:rPr>
          <w:lang w:val="pt-BR"/>
        </w:rPr>
        <w:t xml:space="preserve"> </w:t>
      </w:r>
      <w:r w:rsidR="00B5729E" w:rsidRPr="002F4565">
        <w:rPr>
          <w:lang w:val="pt-BR"/>
        </w:rPr>
        <w:t xml:space="preserve">também tiveram efeitos </w:t>
      </w:r>
      <w:r w:rsidRPr="002F4565">
        <w:rPr>
          <w:lang w:val="pt-BR"/>
        </w:rPr>
        <w:t>significa</w:t>
      </w:r>
      <w:r w:rsidR="00B5729E" w:rsidRPr="002F4565">
        <w:rPr>
          <w:lang w:val="pt-BR"/>
        </w:rPr>
        <w:t xml:space="preserve">tivos sobre os tipos de </w:t>
      </w:r>
      <w:r w:rsidR="00261A8A" w:rsidRPr="002F4565">
        <w:rPr>
          <w:lang w:val="pt-BR"/>
        </w:rPr>
        <w:t>alimentos</w:t>
      </w:r>
      <w:r w:rsidRPr="002F4565">
        <w:rPr>
          <w:lang w:val="pt-BR"/>
        </w:rPr>
        <w:t xml:space="preserve"> </w:t>
      </w:r>
      <w:r w:rsidR="00B5729E" w:rsidRPr="002F4565">
        <w:rPr>
          <w:lang w:val="pt-BR"/>
        </w:rPr>
        <w:t xml:space="preserve">disponíveis </w:t>
      </w:r>
      <w:r w:rsidR="0049090C" w:rsidRPr="002F4565">
        <w:rPr>
          <w:lang w:val="pt-BR"/>
        </w:rPr>
        <w:t>e</w:t>
      </w:r>
      <w:r w:rsidRPr="002F4565">
        <w:rPr>
          <w:lang w:val="pt-BR"/>
        </w:rPr>
        <w:t xml:space="preserve"> </w:t>
      </w:r>
      <w:r w:rsidR="00B5729E" w:rsidRPr="002F4565">
        <w:rPr>
          <w:lang w:val="pt-BR"/>
        </w:rPr>
        <w:t>seus custos</w:t>
      </w:r>
      <w:r w:rsidRPr="002F4565">
        <w:rPr>
          <w:lang w:val="pt-BR"/>
        </w:rPr>
        <w:t xml:space="preserve">. </w:t>
      </w:r>
      <w:r w:rsidR="00B5729E" w:rsidRPr="002F4565">
        <w:rPr>
          <w:lang w:val="pt-BR"/>
        </w:rPr>
        <w:t>Como resultado</w:t>
      </w:r>
      <w:r w:rsidRPr="002F4565">
        <w:rPr>
          <w:lang w:val="pt-BR"/>
        </w:rPr>
        <w:t xml:space="preserve">, </w:t>
      </w:r>
      <w:r w:rsidR="00B5729E" w:rsidRPr="002F4565">
        <w:rPr>
          <w:lang w:val="pt-BR"/>
        </w:rPr>
        <w:t>houve um aumento drástico na</w:t>
      </w:r>
      <w:r w:rsidRPr="002F4565">
        <w:rPr>
          <w:lang w:val="pt-BR"/>
        </w:rPr>
        <w:t xml:space="preserve"> </w:t>
      </w:r>
      <w:r w:rsidR="00F21F55" w:rsidRPr="002F4565">
        <w:rPr>
          <w:lang w:val="pt-BR"/>
        </w:rPr>
        <w:t>produção</w:t>
      </w:r>
      <w:r w:rsidRPr="002F4565">
        <w:rPr>
          <w:lang w:val="pt-BR"/>
        </w:rPr>
        <w:t xml:space="preserve"> </w:t>
      </w:r>
      <w:r w:rsidR="0049090C" w:rsidRPr="002F4565">
        <w:rPr>
          <w:lang w:val="pt-BR"/>
        </w:rPr>
        <w:t>de</w:t>
      </w:r>
      <w:r w:rsidRPr="002F4565">
        <w:rPr>
          <w:lang w:val="pt-BR"/>
        </w:rPr>
        <w:t xml:space="preserve"> </w:t>
      </w:r>
      <w:r w:rsidR="00B5729E" w:rsidRPr="002F4565">
        <w:rPr>
          <w:lang w:val="pt-BR"/>
        </w:rPr>
        <w:t>determinados produto</w:t>
      </w:r>
      <w:r w:rsidRPr="002F4565">
        <w:rPr>
          <w:lang w:val="pt-BR"/>
        </w:rPr>
        <w:t xml:space="preserve">s </w:t>
      </w:r>
      <w:r w:rsidR="00B5729E" w:rsidRPr="002F4565">
        <w:rPr>
          <w:lang w:val="pt-BR"/>
        </w:rPr>
        <w:t>em comparação com outros</w:t>
      </w:r>
      <w:r w:rsidRPr="002F4565">
        <w:rPr>
          <w:lang w:val="pt-BR"/>
        </w:rPr>
        <w:t xml:space="preserve">. </w:t>
      </w:r>
      <w:r w:rsidR="00B5729E" w:rsidRPr="002F4565">
        <w:rPr>
          <w:lang w:val="pt-BR"/>
        </w:rPr>
        <w:t xml:space="preserve">Por </w:t>
      </w:r>
      <w:r w:rsidRPr="002F4565">
        <w:rPr>
          <w:lang w:val="pt-BR"/>
        </w:rPr>
        <w:t>ex</w:t>
      </w:r>
      <w:r w:rsidR="00B5729E" w:rsidRPr="002F4565">
        <w:rPr>
          <w:lang w:val="pt-BR"/>
        </w:rPr>
        <w:t>emplo</w:t>
      </w:r>
      <w:r w:rsidRPr="002F4565">
        <w:rPr>
          <w:lang w:val="pt-BR"/>
        </w:rPr>
        <w:t xml:space="preserve">, </w:t>
      </w:r>
      <w:r w:rsidR="00B5729E" w:rsidRPr="002F4565">
        <w:rPr>
          <w:lang w:val="pt-BR"/>
        </w:rPr>
        <w:t xml:space="preserve">houve um aumento </w:t>
      </w:r>
      <w:r w:rsidRPr="002F4565">
        <w:rPr>
          <w:lang w:val="pt-BR"/>
        </w:rPr>
        <w:t>substan</w:t>
      </w:r>
      <w:r w:rsidR="00B5729E" w:rsidRPr="002F4565">
        <w:rPr>
          <w:lang w:val="pt-BR"/>
        </w:rPr>
        <w:t>c</w:t>
      </w:r>
      <w:r w:rsidRPr="002F4565">
        <w:rPr>
          <w:lang w:val="pt-BR"/>
        </w:rPr>
        <w:t xml:space="preserve">ial </w:t>
      </w:r>
      <w:r w:rsidR="00B5729E" w:rsidRPr="002F4565">
        <w:rPr>
          <w:lang w:val="pt-BR"/>
        </w:rPr>
        <w:t xml:space="preserve">na </w:t>
      </w:r>
      <w:r w:rsidR="00F21F55" w:rsidRPr="002F4565">
        <w:rPr>
          <w:lang w:val="pt-BR"/>
        </w:rPr>
        <w:t>produção</w:t>
      </w:r>
      <w:r w:rsidRPr="002F4565">
        <w:rPr>
          <w:lang w:val="pt-BR"/>
        </w:rPr>
        <w:t xml:space="preserve"> </w:t>
      </w:r>
      <w:r w:rsidR="00B5729E" w:rsidRPr="002F4565">
        <w:rPr>
          <w:lang w:val="pt-BR"/>
        </w:rPr>
        <w:t xml:space="preserve">global </w:t>
      </w:r>
      <w:r w:rsidR="0049090C" w:rsidRPr="002F4565">
        <w:rPr>
          <w:lang w:val="pt-BR"/>
        </w:rPr>
        <w:t>de</w:t>
      </w:r>
      <w:r w:rsidRPr="002F4565">
        <w:rPr>
          <w:lang w:val="pt-BR"/>
        </w:rPr>
        <w:t xml:space="preserve"> </w:t>
      </w:r>
      <w:r w:rsidR="003F41C2" w:rsidRPr="002F4565">
        <w:rPr>
          <w:lang w:val="pt-BR"/>
        </w:rPr>
        <w:t>óleos vegetais</w:t>
      </w:r>
      <w:r w:rsidRPr="002F4565">
        <w:rPr>
          <w:lang w:val="pt-BR"/>
        </w:rPr>
        <w:t xml:space="preserve"> </w:t>
      </w:r>
      <w:r w:rsidR="003F41C2" w:rsidRPr="002F4565">
        <w:rPr>
          <w:lang w:val="pt-BR"/>
        </w:rPr>
        <w:t xml:space="preserve">como o óleo de soja </w:t>
      </w:r>
      <w:r w:rsidRPr="002F4565">
        <w:rPr>
          <w:lang w:val="pt-BR"/>
        </w:rPr>
        <w:t>par</w:t>
      </w:r>
      <w:r w:rsidR="003F41C2" w:rsidRPr="002F4565">
        <w:rPr>
          <w:lang w:val="pt-BR"/>
        </w:rPr>
        <w:t xml:space="preserve">cialmente </w:t>
      </w:r>
      <w:r w:rsidRPr="002F4565">
        <w:rPr>
          <w:lang w:val="pt-BR"/>
        </w:rPr>
        <w:t>h</w:t>
      </w:r>
      <w:r w:rsidR="003F41C2" w:rsidRPr="002F4565">
        <w:rPr>
          <w:lang w:val="pt-BR"/>
        </w:rPr>
        <w:t>i</w:t>
      </w:r>
      <w:r w:rsidRPr="002F4565">
        <w:rPr>
          <w:lang w:val="pt-BR"/>
        </w:rPr>
        <w:t>drogena</w:t>
      </w:r>
      <w:r w:rsidR="003F41C2" w:rsidRPr="002F4565">
        <w:rPr>
          <w:lang w:val="pt-BR"/>
        </w:rPr>
        <w:t>do</w:t>
      </w:r>
      <w:r w:rsidRPr="002F4565">
        <w:rPr>
          <w:lang w:val="pt-BR"/>
        </w:rPr>
        <w:t xml:space="preserve">, </w:t>
      </w:r>
      <w:r w:rsidR="003F41C2" w:rsidRPr="002F4565">
        <w:rPr>
          <w:lang w:val="pt-BR"/>
        </w:rPr>
        <w:t xml:space="preserve">fonte de gorduras </w:t>
      </w:r>
      <w:r w:rsidR="003F41C2" w:rsidRPr="002F4565">
        <w:rPr>
          <w:i/>
          <w:lang w:val="pt-BR"/>
        </w:rPr>
        <w:t>trans</w:t>
      </w:r>
      <w:r w:rsidRPr="002F4565">
        <w:rPr>
          <w:lang w:val="pt-BR"/>
        </w:rPr>
        <w:t xml:space="preserve"> </w:t>
      </w:r>
      <w:r w:rsidR="0049090C" w:rsidRPr="002F4565">
        <w:rPr>
          <w:lang w:val="pt-BR"/>
        </w:rPr>
        <w:t>e</w:t>
      </w:r>
      <w:r w:rsidRPr="002F4565">
        <w:rPr>
          <w:lang w:val="pt-BR"/>
        </w:rPr>
        <w:t xml:space="preserve"> </w:t>
      </w:r>
      <w:r w:rsidR="003F41C2" w:rsidRPr="002F4565">
        <w:rPr>
          <w:lang w:val="pt-BR"/>
        </w:rPr>
        <w:t>óleo de palmeira</w:t>
      </w:r>
      <w:r w:rsidRPr="002F4565">
        <w:rPr>
          <w:lang w:val="pt-BR"/>
        </w:rPr>
        <w:t xml:space="preserve">, </w:t>
      </w:r>
      <w:r w:rsidR="003F41C2" w:rsidRPr="002F4565">
        <w:rPr>
          <w:lang w:val="pt-BR"/>
        </w:rPr>
        <w:t xml:space="preserve">fonte de </w:t>
      </w:r>
      <w:r w:rsidR="0040430A" w:rsidRPr="002F4565">
        <w:rPr>
          <w:lang w:val="pt-BR"/>
        </w:rPr>
        <w:t>gorduras</w:t>
      </w:r>
      <w:r w:rsidR="003F41C2" w:rsidRPr="002F4565">
        <w:rPr>
          <w:lang w:val="pt-BR"/>
        </w:rPr>
        <w:t xml:space="preserve"> </w:t>
      </w:r>
      <w:proofErr w:type="gramStart"/>
      <w:r w:rsidR="003F41C2" w:rsidRPr="002F4565">
        <w:rPr>
          <w:lang w:val="pt-BR"/>
        </w:rPr>
        <w:t>saturadas</w:t>
      </w:r>
      <w:r w:rsidRPr="002F4565">
        <w:rPr>
          <w:lang w:val="pt-BR"/>
        </w:rPr>
        <w:t>.</w:t>
      </w:r>
      <w:proofErr w:type="gramEnd"/>
      <w:r w:rsidRPr="002F4565">
        <w:rPr>
          <w:vertAlign w:val="superscript"/>
          <w:lang w:val="pt-BR"/>
        </w:rPr>
        <w:t>19</w:t>
      </w:r>
      <w:r w:rsidRPr="002F4565">
        <w:rPr>
          <w:lang w:val="pt-BR"/>
        </w:rPr>
        <w:t xml:space="preserve"> </w:t>
      </w:r>
      <w:r w:rsidR="003F41C2" w:rsidRPr="002F4565">
        <w:rPr>
          <w:lang w:val="pt-BR"/>
        </w:rPr>
        <w:t>Da mesma forma</w:t>
      </w:r>
      <w:r w:rsidRPr="002F4565">
        <w:rPr>
          <w:lang w:val="pt-BR"/>
        </w:rPr>
        <w:t xml:space="preserve">, </w:t>
      </w:r>
      <w:r w:rsidR="003F41C2" w:rsidRPr="002F4565">
        <w:rPr>
          <w:lang w:val="pt-BR"/>
        </w:rPr>
        <w:t>grãos</w:t>
      </w:r>
      <w:r w:rsidRPr="002F4565">
        <w:rPr>
          <w:lang w:val="pt-BR"/>
        </w:rPr>
        <w:t xml:space="preserve"> </w:t>
      </w:r>
      <w:r w:rsidR="003F41C2" w:rsidRPr="002F4565">
        <w:rPr>
          <w:lang w:val="pt-BR"/>
        </w:rPr>
        <w:t xml:space="preserve">como o milho </w:t>
      </w:r>
      <w:r w:rsidR="0040430A" w:rsidRPr="002F4565">
        <w:rPr>
          <w:lang w:val="pt-BR"/>
        </w:rPr>
        <w:t>são</w:t>
      </w:r>
      <w:r w:rsidRPr="002F4565">
        <w:rPr>
          <w:lang w:val="pt-BR"/>
        </w:rPr>
        <w:t xml:space="preserve"> produ</w:t>
      </w:r>
      <w:r w:rsidR="003F41C2" w:rsidRPr="002F4565">
        <w:rPr>
          <w:lang w:val="pt-BR"/>
        </w:rPr>
        <w:t xml:space="preserve">zidos </w:t>
      </w:r>
      <w:r w:rsidR="00FB4DE4" w:rsidRPr="002F4565">
        <w:rPr>
          <w:lang w:val="pt-BR"/>
        </w:rPr>
        <w:t>em</w:t>
      </w:r>
      <w:r w:rsidRPr="002F4565">
        <w:rPr>
          <w:lang w:val="pt-BR"/>
        </w:rPr>
        <w:t xml:space="preserve"> </w:t>
      </w:r>
      <w:r w:rsidR="003F41C2" w:rsidRPr="002F4565">
        <w:rPr>
          <w:lang w:val="pt-BR"/>
        </w:rPr>
        <w:t xml:space="preserve">maiores quantidades </w:t>
      </w:r>
      <w:r w:rsidR="00251FF5" w:rsidRPr="002F4565">
        <w:rPr>
          <w:lang w:val="pt-BR"/>
        </w:rPr>
        <w:t xml:space="preserve">de </w:t>
      </w:r>
      <w:r w:rsidR="003F41C2" w:rsidRPr="002F4565">
        <w:rPr>
          <w:lang w:val="pt-BR"/>
        </w:rPr>
        <w:t xml:space="preserve">fornecimento à </w:t>
      </w:r>
      <w:r w:rsidR="00802E44" w:rsidRPr="002F4565">
        <w:rPr>
          <w:lang w:val="pt-BR"/>
        </w:rPr>
        <w:t>indústria</w:t>
      </w:r>
      <w:r w:rsidRPr="002F4565">
        <w:rPr>
          <w:lang w:val="pt-BR"/>
        </w:rPr>
        <w:t xml:space="preserve"> </w:t>
      </w:r>
      <w:r w:rsidR="003F41C2" w:rsidRPr="002F4565">
        <w:rPr>
          <w:lang w:val="pt-BR"/>
        </w:rPr>
        <w:t xml:space="preserve">de processamento de alimentos para produzir </w:t>
      </w:r>
      <w:r w:rsidR="003F41C2" w:rsidRPr="002F4565">
        <w:rPr>
          <w:lang w:val="pt-BR"/>
        </w:rPr>
        <w:lastRenderedPageBreak/>
        <w:t>adoçantes como o xarope de milho com alto teor de frutose</w:t>
      </w:r>
      <w:r w:rsidRPr="002F4565">
        <w:rPr>
          <w:lang w:val="pt-BR"/>
        </w:rPr>
        <w:t xml:space="preserve">, </w:t>
      </w:r>
      <w:r w:rsidR="003F41C2" w:rsidRPr="002F4565">
        <w:rPr>
          <w:lang w:val="pt-BR"/>
        </w:rPr>
        <w:t xml:space="preserve">aumentando </w:t>
      </w:r>
      <w:r w:rsidRPr="002F4565">
        <w:rPr>
          <w:lang w:val="pt-BR"/>
        </w:rPr>
        <w:t>substan</w:t>
      </w:r>
      <w:r w:rsidR="003F41C2" w:rsidRPr="002F4565">
        <w:rPr>
          <w:lang w:val="pt-BR"/>
        </w:rPr>
        <w:t xml:space="preserve">cialmente o </w:t>
      </w:r>
      <w:r w:rsidR="0049090C" w:rsidRPr="002F4565">
        <w:rPr>
          <w:lang w:val="pt-BR"/>
        </w:rPr>
        <w:t>consumo</w:t>
      </w:r>
      <w:r w:rsidRPr="002F4565">
        <w:rPr>
          <w:lang w:val="pt-BR"/>
        </w:rPr>
        <w:t xml:space="preserve"> </w:t>
      </w:r>
      <w:r w:rsidR="003F41C2" w:rsidRPr="002F4565">
        <w:rPr>
          <w:lang w:val="pt-BR"/>
        </w:rPr>
        <w:t>global de calorias com base em tais adoçante</w:t>
      </w:r>
      <w:r w:rsidRPr="002F4565">
        <w:rPr>
          <w:lang w:val="pt-BR"/>
        </w:rPr>
        <w:t xml:space="preserve">s (A/HRC/19/59, pp. 13–14). </w:t>
      </w:r>
      <w:r w:rsidR="003F41C2" w:rsidRPr="002F4565">
        <w:rPr>
          <w:lang w:val="pt-BR"/>
        </w:rPr>
        <w:t xml:space="preserve">Estudos indicam </w:t>
      </w:r>
      <w:r w:rsidR="006A31E1" w:rsidRPr="002F4565">
        <w:rPr>
          <w:lang w:val="pt-BR"/>
        </w:rPr>
        <w:t>que</w:t>
      </w:r>
      <w:r w:rsidRPr="002F4565">
        <w:rPr>
          <w:lang w:val="pt-BR"/>
        </w:rPr>
        <w:t xml:space="preserve"> </w:t>
      </w:r>
      <w:r w:rsidR="003F41C2" w:rsidRPr="002F4565">
        <w:rPr>
          <w:lang w:val="pt-BR"/>
        </w:rPr>
        <w:t xml:space="preserve">os </w:t>
      </w:r>
      <w:r w:rsidR="00FB4DE4" w:rsidRPr="002F4565">
        <w:rPr>
          <w:lang w:val="pt-BR"/>
        </w:rPr>
        <w:t>países</w:t>
      </w:r>
      <w:r w:rsidRPr="002F4565">
        <w:rPr>
          <w:lang w:val="pt-BR"/>
        </w:rPr>
        <w:t xml:space="preserve"> </w:t>
      </w:r>
      <w:r w:rsidR="003F41C2" w:rsidRPr="002F4565">
        <w:rPr>
          <w:lang w:val="pt-BR"/>
        </w:rPr>
        <w:t xml:space="preserve">que adotam </w:t>
      </w:r>
      <w:r w:rsidR="0049090C" w:rsidRPr="002F4565">
        <w:rPr>
          <w:lang w:val="pt-BR"/>
        </w:rPr>
        <w:t>políticas</w:t>
      </w:r>
      <w:r w:rsidRPr="002F4565">
        <w:rPr>
          <w:lang w:val="pt-BR"/>
        </w:rPr>
        <w:t xml:space="preserve"> </w:t>
      </w:r>
      <w:r w:rsidR="003F41C2" w:rsidRPr="002F4565">
        <w:rPr>
          <w:lang w:val="pt-BR"/>
        </w:rPr>
        <w:t xml:space="preserve">de desregulamentação de mercado apresentam aumento mais rápido no consumo de </w:t>
      </w:r>
      <w:r w:rsidR="0049090C" w:rsidRPr="002F4565">
        <w:rPr>
          <w:lang w:val="pt-BR"/>
        </w:rPr>
        <w:t>alimento</w:t>
      </w:r>
      <w:r w:rsidR="003F41C2" w:rsidRPr="002F4565">
        <w:rPr>
          <w:lang w:val="pt-BR"/>
        </w:rPr>
        <w:t>s não saudáveis</w:t>
      </w:r>
      <w:r w:rsidRPr="002F4565">
        <w:rPr>
          <w:lang w:val="pt-BR"/>
        </w:rPr>
        <w:t xml:space="preserve"> </w:t>
      </w:r>
      <w:r w:rsidR="0049090C" w:rsidRPr="002F4565">
        <w:rPr>
          <w:lang w:val="pt-BR"/>
        </w:rPr>
        <w:t>e</w:t>
      </w:r>
      <w:r w:rsidRPr="002F4565">
        <w:rPr>
          <w:lang w:val="pt-BR"/>
        </w:rPr>
        <w:t xml:space="preserve"> </w:t>
      </w:r>
      <w:r w:rsidR="00251FF5" w:rsidRPr="002F4565">
        <w:rPr>
          <w:lang w:val="pt-BR"/>
        </w:rPr>
        <w:t xml:space="preserve">na </w:t>
      </w:r>
      <w:r w:rsidR="003F41C2" w:rsidRPr="002F4565">
        <w:rPr>
          <w:lang w:val="pt-BR"/>
        </w:rPr>
        <w:t>média do índice de massa corporal</w:t>
      </w:r>
      <w:r w:rsidRPr="002F4565">
        <w:rPr>
          <w:lang w:val="pt-BR"/>
        </w:rPr>
        <w:t>, indica</w:t>
      </w:r>
      <w:r w:rsidR="003F41C2" w:rsidRPr="002F4565">
        <w:rPr>
          <w:lang w:val="pt-BR"/>
        </w:rPr>
        <w:t>d</w:t>
      </w:r>
      <w:r w:rsidRPr="002F4565">
        <w:rPr>
          <w:lang w:val="pt-BR"/>
        </w:rPr>
        <w:t xml:space="preserve">or </w:t>
      </w:r>
      <w:r w:rsidR="0049090C" w:rsidRPr="002F4565">
        <w:rPr>
          <w:lang w:val="pt-BR"/>
        </w:rPr>
        <w:t>d</w:t>
      </w:r>
      <w:r w:rsidR="003F41C2" w:rsidRPr="002F4565">
        <w:rPr>
          <w:lang w:val="pt-BR"/>
        </w:rPr>
        <w:t>a</w:t>
      </w:r>
      <w:r w:rsidRPr="002F4565">
        <w:rPr>
          <w:lang w:val="pt-BR"/>
        </w:rPr>
        <w:t xml:space="preserve"> </w:t>
      </w:r>
      <w:proofErr w:type="gramStart"/>
      <w:r w:rsidR="0040430A" w:rsidRPr="002F4565">
        <w:rPr>
          <w:lang w:val="pt-BR"/>
        </w:rPr>
        <w:t>obesidade</w:t>
      </w:r>
      <w:r w:rsidRPr="002F4565">
        <w:rPr>
          <w:lang w:val="pt-BR"/>
        </w:rPr>
        <w:t>.</w:t>
      </w:r>
      <w:proofErr w:type="gramEnd"/>
      <w:r w:rsidRPr="002F4565">
        <w:rPr>
          <w:vertAlign w:val="superscript"/>
          <w:lang w:val="pt-BR"/>
        </w:rPr>
        <w:t>20</w:t>
      </w:r>
      <w:r w:rsidRPr="002F4565">
        <w:rPr>
          <w:lang w:val="pt-BR"/>
        </w:rPr>
        <w:t xml:space="preserve"> </w:t>
      </w:r>
      <w:r w:rsidR="003F41C2" w:rsidRPr="002F4565">
        <w:rPr>
          <w:lang w:val="pt-BR"/>
        </w:rPr>
        <w:t xml:space="preserve">Na promoção das metas </w:t>
      </w:r>
      <w:r w:rsidR="0049090C" w:rsidRPr="002F4565">
        <w:rPr>
          <w:lang w:val="pt-BR"/>
        </w:rPr>
        <w:t>de</w:t>
      </w:r>
      <w:r w:rsidRPr="002F4565">
        <w:rPr>
          <w:lang w:val="pt-BR"/>
        </w:rPr>
        <w:t xml:space="preserve"> </w:t>
      </w:r>
      <w:r w:rsidR="003F41C2" w:rsidRPr="002F4565">
        <w:rPr>
          <w:lang w:val="pt-BR"/>
        </w:rPr>
        <w:t xml:space="preserve">expansão e de </w:t>
      </w:r>
      <w:r w:rsidR="00FB4401" w:rsidRPr="002F4565">
        <w:rPr>
          <w:lang w:val="pt-BR"/>
        </w:rPr>
        <w:t>mercado</w:t>
      </w:r>
      <w:r w:rsidRPr="002F4565">
        <w:rPr>
          <w:lang w:val="pt-BR"/>
        </w:rPr>
        <w:t xml:space="preserve"> </w:t>
      </w:r>
      <w:r w:rsidR="003F41C2" w:rsidRPr="002F4565">
        <w:rPr>
          <w:lang w:val="pt-BR"/>
        </w:rPr>
        <w:t>e lucros</w:t>
      </w:r>
      <w:r w:rsidRPr="002F4565">
        <w:rPr>
          <w:lang w:val="pt-BR"/>
        </w:rPr>
        <w:t xml:space="preserve">, </w:t>
      </w:r>
      <w:r w:rsidR="003F41C2" w:rsidRPr="002F4565">
        <w:rPr>
          <w:lang w:val="pt-BR"/>
        </w:rPr>
        <w:t>área</w:t>
      </w:r>
      <w:r w:rsidR="00251FF5" w:rsidRPr="002F4565">
        <w:rPr>
          <w:lang w:val="pt-BR"/>
        </w:rPr>
        <w:t>s</w:t>
      </w:r>
      <w:r w:rsidR="003F41C2" w:rsidRPr="002F4565">
        <w:rPr>
          <w:lang w:val="pt-BR"/>
        </w:rPr>
        <w:t xml:space="preserve"> de </w:t>
      </w:r>
      <w:r w:rsidR="0049090C" w:rsidRPr="002F4565">
        <w:rPr>
          <w:lang w:val="pt-BR"/>
        </w:rPr>
        <w:t>saúde</w:t>
      </w:r>
      <w:r w:rsidRPr="002F4565">
        <w:rPr>
          <w:lang w:val="pt-BR"/>
        </w:rPr>
        <w:t xml:space="preserve"> </w:t>
      </w:r>
      <w:r w:rsidR="003F41C2" w:rsidRPr="002F4565">
        <w:rPr>
          <w:lang w:val="pt-BR"/>
        </w:rPr>
        <w:t>crítica</w:t>
      </w:r>
      <w:r w:rsidR="00251FF5" w:rsidRPr="002F4565">
        <w:rPr>
          <w:lang w:val="pt-BR"/>
        </w:rPr>
        <w:t>s</w:t>
      </w:r>
      <w:r w:rsidR="003F41C2" w:rsidRPr="002F4565">
        <w:rPr>
          <w:lang w:val="pt-BR"/>
        </w:rPr>
        <w:t xml:space="preserve"> como </w:t>
      </w:r>
      <w:r w:rsidR="0040430A" w:rsidRPr="002F4565">
        <w:rPr>
          <w:lang w:val="pt-BR"/>
        </w:rPr>
        <w:t>dietas</w:t>
      </w:r>
      <w:r w:rsidRPr="002F4565">
        <w:rPr>
          <w:lang w:val="pt-BR"/>
        </w:rPr>
        <w:t xml:space="preserve"> </w:t>
      </w:r>
      <w:r w:rsidR="0049090C" w:rsidRPr="002F4565">
        <w:rPr>
          <w:lang w:val="pt-BR"/>
        </w:rPr>
        <w:t>e</w:t>
      </w:r>
      <w:r w:rsidRPr="002F4565">
        <w:rPr>
          <w:lang w:val="pt-BR"/>
        </w:rPr>
        <w:t xml:space="preserve"> </w:t>
      </w:r>
      <w:r w:rsidR="003F41C2" w:rsidRPr="002F4565">
        <w:rPr>
          <w:lang w:val="pt-BR"/>
        </w:rPr>
        <w:t>nutrição</w:t>
      </w:r>
      <w:r w:rsidRPr="002F4565">
        <w:rPr>
          <w:lang w:val="pt-BR"/>
        </w:rPr>
        <w:t xml:space="preserve"> </w:t>
      </w:r>
      <w:r w:rsidR="003F41C2" w:rsidRPr="002F4565">
        <w:rPr>
          <w:lang w:val="pt-BR"/>
        </w:rPr>
        <w:t xml:space="preserve">não receberam a devida </w:t>
      </w:r>
      <w:r w:rsidRPr="002F4565">
        <w:rPr>
          <w:lang w:val="pt-BR"/>
        </w:rPr>
        <w:t>consider</w:t>
      </w:r>
      <w:r w:rsidR="00F21F55" w:rsidRPr="002F4565">
        <w:rPr>
          <w:lang w:val="pt-BR"/>
        </w:rPr>
        <w:t>ação</w:t>
      </w:r>
      <w:r w:rsidRPr="002F4565">
        <w:rPr>
          <w:lang w:val="pt-BR"/>
        </w:rPr>
        <w:t>.</w:t>
      </w:r>
      <w:r w:rsidRPr="002F4565">
        <w:rPr>
          <w:vertAlign w:val="superscript"/>
          <w:lang w:val="pt-BR"/>
        </w:rPr>
        <w:t>21</w:t>
      </w:r>
      <w:r w:rsidRPr="002F4565">
        <w:rPr>
          <w:lang w:val="pt-BR"/>
        </w:rPr>
        <w:t xml:space="preserve"> </w:t>
      </w:r>
    </w:p>
    <w:p w:rsidR="00117FB4" w:rsidRPr="002F4565" w:rsidRDefault="00115B91" w:rsidP="0051636A">
      <w:pPr>
        <w:spacing w:before="120" w:after="0" w:line="240" w:lineRule="auto"/>
        <w:rPr>
          <w:lang w:val="pt-BR"/>
        </w:rPr>
      </w:pPr>
      <w:r w:rsidRPr="002F4565">
        <w:rPr>
          <w:lang w:val="pt-BR"/>
        </w:rPr>
        <w:t xml:space="preserve">8. </w:t>
      </w:r>
      <w:r w:rsidR="003F41C2" w:rsidRPr="002F4565">
        <w:rPr>
          <w:lang w:val="pt-BR"/>
        </w:rPr>
        <w:t>O aumento nos níveis</w:t>
      </w:r>
      <w:r w:rsidRPr="002F4565">
        <w:rPr>
          <w:lang w:val="pt-BR"/>
        </w:rPr>
        <w:t xml:space="preserve"> </w:t>
      </w:r>
      <w:r w:rsidR="0049090C" w:rsidRPr="002F4565">
        <w:rPr>
          <w:lang w:val="pt-BR"/>
        </w:rPr>
        <w:t>de</w:t>
      </w:r>
      <w:r w:rsidRPr="002F4565">
        <w:rPr>
          <w:lang w:val="pt-BR"/>
        </w:rPr>
        <w:t xml:space="preserve"> FDI</w:t>
      </w:r>
      <w:r w:rsidR="00251FF5" w:rsidRPr="002F4565">
        <w:rPr>
          <w:lang w:val="pt-BR"/>
        </w:rPr>
        <w:t>s</w:t>
      </w:r>
      <w:r w:rsidRPr="002F4565">
        <w:rPr>
          <w:lang w:val="pt-BR"/>
        </w:rPr>
        <w:t xml:space="preserve"> </w:t>
      </w:r>
      <w:r w:rsidR="003F41C2" w:rsidRPr="002F4565">
        <w:rPr>
          <w:lang w:val="pt-BR"/>
        </w:rPr>
        <w:t>no setor de alimentos processados</w:t>
      </w:r>
      <w:r w:rsidRPr="002F4565">
        <w:rPr>
          <w:lang w:val="pt-BR"/>
        </w:rPr>
        <w:t xml:space="preserve"> </w:t>
      </w:r>
      <w:r w:rsidR="005A25F5" w:rsidRPr="002F4565">
        <w:rPr>
          <w:lang w:val="pt-BR"/>
        </w:rPr>
        <w:t>é</w:t>
      </w:r>
      <w:r w:rsidRPr="002F4565">
        <w:rPr>
          <w:lang w:val="pt-BR"/>
        </w:rPr>
        <w:t xml:space="preserve"> </w:t>
      </w:r>
      <w:r w:rsidR="003F41C2" w:rsidRPr="002F4565">
        <w:rPr>
          <w:lang w:val="pt-BR"/>
        </w:rPr>
        <w:t xml:space="preserve">um dos fatores </w:t>
      </w:r>
      <w:r w:rsidR="006A31E1" w:rsidRPr="002F4565">
        <w:rPr>
          <w:lang w:val="pt-BR"/>
        </w:rPr>
        <w:t>que</w:t>
      </w:r>
      <w:r w:rsidRPr="002F4565">
        <w:rPr>
          <w:lang w:val="pt-BR"/>
        </w:rPr>
        <w:t xml:space="preserve"> </w:t>
      </w:r>
      <w:r w:rsidR="003F41C2" w:rsidRPr="002F4565">
        <w:rPr>
          <w:lang w:val="pt-BR"/>
        </w:rPr>
        <w:t xml:space="preserve">permite </w:t>
      </w:r>
      <w:r w:rsidR="00251FF5" w:rsidRPr="002F4565">
        <w:rPr>
          <w:lang w:val="pt-BR"/>
        </w:rPr>
        <w:t xml:space="preserve">maior </w:t>
      </w:r>
      <w:r w:rsidR="003F41C2" w:rsidRPr="002F4565">
        <w:rPr>
          <w:lang w:val="pt-BR"/>
        </w:rPr>
        <w:t xml:space="preserve">exposição a </w:t>
      </w:r>
      <w:r w:rsidR="00261A8A" w:rsidRPr="002F4565">
        <w:rPr>
          <w:lang w:val="pt-BR"/>
        </w:rPr>
        <w:t>alimentos pouco saudáveis</w:t>
      </w:r>
      <w:r w:rsidRPr="002F4565">
        <w:rPr>
          <w:lang w:val="pt-BR"/>
        </w:rPr>
        <w:t xml:space="preserve"> </w:t>
      </w:r>
      <w:r w:rsidR="00251FF5" w:rsidRPr="002F4565">
        <w:rPr>
          <w:lang w:val="pt-BR"/>
        </w:rPr>
        <w:t>nos</w:t>
      </w:r>
      <w:r w:rsidRPr="002F4565">
        <w:rPr>
          <w:lang w:val="pt-BR"/>
        </w:rPr>
        <w:t xml:space="preserve"> </w:t>
      </w:r>
      <w:r w:rsidR="003F41C2" w:rsidRPr="002F4565">
        <w:rPr>
          <w:lang w:val="pt-BR"/>
        </w:rPr>
        <w:t xml:space="preserve">países de baixa renda e renda </w:t>
      </w:r>
      <w:proofErr w:type="gramStart"/>
      <w:r w:rsidR="003F41C2" w:rsidRPr="002F4565">
        <w:rPr>
          <w:lang w:val="pt-BR"/>
        </w:rPr>
        <w:t>média</w:t>
      </w:r>
      <w:r w:rsidRPr="002F4565">
        <w:rPr>
          <w:lang w:val="pt-BR"/>
        </w:rPr>
        <w:t>.</w:t>
      </w:r>
      <w:proofErr w:type="gramEnd"/>
      <w:r w:rsidRPr="002F4565">
        <w:rPr>
          <w:vertAlign w:val="superscript"/>
          <w:lang w:val="pt-BR"/>
        </w:rPr>
        <w:t>22</w:t>
      </w:r>
      <w:r w:rsidRPr="002F4565">
        <w:rPr>
          <w:lang w:val="pt-BR"/>
        </w:rPr>
        <w:t xml:space="preserve"> </w:t>
      </w:r>
      <w:r w:rsidR="003F41C2" w:rsidRPr="002F4565">
        <w:rPr>
          <w:lang w:val="pt-BR"/>
        </w:rPr>
        <w:t>O</w:t>
      </w:r>
      <w:r w:rsidR="00251FF5" w:rsidRPr="002F4565">
        <w:rPr>
          <w:lang w:val="pt-BR"/>
        </w:rPr>
        <w:t>s</w:t>
      </w:r>
      <w:r w:rsidR="003F41C2" w:rsidRPr="002F4565">
        <w:rPr>
          <w:lang w:val="pt-BR"/>
        </w:rPr>
        <w:t xml:space="preserve"> </w:t>
      </w:r>
      <w:r w:rsidRPr="002F4565">
        <w:rPr>
          <w:lang w:val="pt-BR"/>
        </w:rPr>
        <w:t>FDI</w:t>
      </w:r>
      <w:r w:rsidR="00251FF5" w:rsidRPr="002F4565">
        <w:rPr>
          <w:lang w:val="pt-BR"/>
        </w:rPr>
        <w:t>s</w:t>
      </w:r>
      <w:r w:rsidRPr="002F4565">
        <w:rPr>
          <w:lang w:val="pt-BR"/>
        </w:rPr>
        <w:t xml:space="preserve"> </w:t>
      </w:r>
      <w:r w:rsidR="00251FF5" w:rsidRPr="002F4565">
        <w:rPr>
          <w:lang w:val="pt-BR"/>
        </w:rPr>
        <w:t xml:space="preserve">são </w:t>
      </w:r>
      <w:r w:rsidR="003F41C2" w:rsidRPr="002F4565">
        <w:rPr>
          <w:lang w:val="pt-BR"/>
        </w:rPr>
        <w:t xml:space="preserve">um dos </w:t>
      </w:r>
      <w:r w:rsidR="00F21F55" w:rsidRPr="002F4565">
        <w:rPr>
          <w:lang w:val="pt-BR"/>
        </w:rPr>
        <w:t>mecanismo</w:t>
      </w:r>
      <w:r w:rsidRPr="002F4565">
        <w:rPr>
          <w:lang w:val="pt-BR"/>
        </w:rPr>
        <w:t xml:space="preserve">s </w:t>
      </w:r>
      <w:r w:rsidR="003F41C2" w:rsidRPr="002F4565">
        <w:rPr>
          <w:lang w:val="pt-BR"/>
        </w:rPr>
        <w:t xml:space="preserve">pelos quais as </w:t>
      </w:r>
      <w:r w:rsidRPr="002F4565">
        <w:rPr>
          <w:lang w:val="pt-BR"/>
        </w:rPr>
        <w:t xml:space="preserve">TNCs </w:t>
      </w:r>
      <w:r w:rsidR="003F41C2" w:rsidRPr="002F4565">
        <w:rPr>
          <w:lang w:val="pt-BR"/>
        </w:rPr>
        <w:t xml:space="preserve">entram nos </w:t>
      </w:r>
      <w:r w:rsidR="00FB4DE4" w:rsidRPr="002F4565">
        <w:rPr>
          <w:lang w:val="pt-BR"/>
        </w:rPr>
        <w:t>países em desenvolvimento</w:t>
      </w:r>
      <w:r w:rsidRPr="002F4565">
        <w:rPr>
          <w:lang w:val="pt-BR"/>
        </w:rPr>
        <w:t xml:space="preserve">. </w:t>
      </w:r>
      <w:r w:rsidR="003F41C2" w:rsidRPr="002F4565">
        <w:rPr>
          <w:lang w:val="pt-BR"/>
        </w:rPr>
        <w:t xml:space="preserve">O </w:t>
      </w:r>
      <w:r w:rsidRPr="002F4565">
        <w:rPr>
          <w:lang w:val="pt-BR"/>
        </w:rPr>
        <w:t xml:space="preserve">FDI </w:t>
      </w:r>
      <w:r w:rsidR="003F41C2" w:rsidRPr="002F4565">
        <w:rPr>
          <w:lang w:val="pt-BR"/>
        </w:rPr>
        <w:t>permite</w:t>
      </w:r>
      <w:r w:rsidRPr="002F4565">
        <w:rPr>
          <w:lang w:val="pt-BR"/>
        </w:rPr>
        <w:t xml:space="preserve"> </w:t>
      </w:r>
      <w:r w:rsidR="003F41C2" w:rsidRPr="002F4565">
        <w:rPr>
          <w:lang w:val="pt-BR"/>
        </w:rPr>
        <w:t xml:space="preserve">que as </w:t>
      </w:r>
      <w:r w:rsidR="00FB4DE4" w:rsidRPr="002F4565">
        <w:rPr>
          <w:lang w:val="pt-BR"/>
        </w:rPr>
        <w:t>companhias</w:t>
      </w:r>
      <w:r w:rsidRPr="002F4565">
        <w:rPr>
          <w:lang w:val="pt-BR"/>
        </w:rPr>
        <w:t xml:space="preserve"> </w:t>
      </w:r>
      <w:r w:rsidR="00441B8F" w:rsidRPr="002F4565">
        <w:rPr>
          <w:lang w:val="pt-BR"/>
        </w:rPr>
        <w:t xml:space="preserve">adquiram </w:t>
      </w:r>
      <w:r w:rsidR="003F41C2" w:rsidRPr="002F4565">
        <w:rPr>
          <w:lang w:val="pt-BR"/>
        </w:rPr>
        <w:t>ou</w:t>
      </w:r>
      <w:r w:rsidRPr="002F4565">
        <w:rPr>
          <w:lang w:val="pt-BR"/>
        </w:rPr>
        <w:t xml:space="preserve"> </w:t>
      </w:r>
      <w:r w:rsidR="003F41C2" w:rsidRPr="002F4565">
        <w:rPr>
          <w:lang w:val="pt-BR"/>
        </w:rPr>
        <w:t xml:space="preserve">invistam </w:t>
      </w:r>
      <w:r w:rsidR="00FB4DE4" w:rsidRPr="002F4565">
        <w:rPr>
          <w:lang w:val="pt-BR"/>
        </w:rPr>
        <w:t>em</w:t>
      </w:r>
      <w:r w:rsidRPr="002F4565">
        <w:rPr>
          <w:lang w:val="pt-BR"/>
        </w:rPr>
        <w:t xml:space="preserve"> </w:t>
      </w:r>
      <w:r w:rsidR="00FB4DE4" w:rsidRPr="002F4565">
        <w:rPr>
          <w:lang w:val="pt-BR"/>
        </w:rPr>
        <w:t>companhias</w:t>
      </w:r>
      <w:r w:rsidRPr="002F4565">
        <w:rPr>
          <w:lang w:val="pt-BR"/>
        </w:rPr>
        <w:t xml:space="preserve"> </w:t>
      </w:r>
      <w:r w:rsidR="003F41C2" w:rsidRPr="002F4565">
        <w:rPr>
          <w:lang w:val="pt-BR"/>
        </w:rPr>
        <w:t xml:space="preserve">de processamento de alimentos </w:t>
      </w:r>
      <w:r w:rsidR="00FB4DE4" w:rsidRPr="002F4565">
        <w:rPr>
          <w:lang w:val="pt-BR"/>
        </w:rPr>
        <w:t>em</w:t>
      </w:r>
      <w:r w:rsidRPr="002F4565">
        <w:rPr>
          <w:lang w:val="pt-BR"/>
        </w:rPr>
        <w:t xml:space="preserve"> </w:t>
      </w:r>
      <w:r w:rsidR="003F41C2" w:rsidRPr="002F4565">
        <w:rPr>
          <w:lang w:val="pt-BR"/>
        </w:rPr>
        <w:t>outros</w:t>
      </w:r>
      <w:r w:rsidRPr="002F4565">
        <w:rPr>
          <w:lang w:val="pt-BR"/>
        </w:rPr>
        <w:t xml:space="preserve"> </w:t>
      </w:r>
      <w:r w:rsidR="00FB4DE4" w:rsidRPr="002F4565">
        <w:rPr>
          <w:lang w:val="pt-BR"/>
        </w:rPr>
        <w:t>países</w:t>
      </w:r>
      <w:r w:rsidRPr="002F4565">
        <w:rPr>
          <w:lang w:val="pt-BR"/>
        </w:rPr>
        <w:t xml:space="preserve">, </w:t>
      </w:r>
      <w:r w:rsidR="003F41C2" w:rsidRPr="002F4565">
        <w:rPr>
          <w:lang w:val="pt-BR"/>
        </w:rPr>
        <w:t xml:space="preserve">que então </w:t>
      </w:r>
      <w:r w:rsidRPr="002F4565">
        <w:rPr>
          <w:lang w:val="pt-BR"/>
        </w:rPr>
        <w:t>produ</w:t>
      </w:r>
      <w:r w:rsidR="003F41C2" w:rsidRPr="002F4565">
        <w:rPr>
          <w:lang w:val="pt-BR"/>
        </w:rPr>
        <w:t>zem</w:t>
      </w:r>
      <w:r w:rsidRPr="002F4565">
        <w:rPr>
          <w:lang w:val="pt-BR"/>
        </w:rPr>
        <w:t xml:space="preserve"> </w:t>
      </w:r>
      <w:r w:rsidR="003F41C2" w:rsidRPr="002F4565">
        <w:rPr>
          <w:lang w:val="pt-BR"/>
        </w:rPr>
        <w:t>alimentos processados</w:t>
      </w:r>
      <w:r w:rsidRPr="002F4565">
        <w:rPr>
          <w:lang w:val="pt-BR"/>
        </w:rPr>
        <w:t xml:space="preserve"> </w:t>
      </w:r>
      <w:r w:rsidR="003F41C2" w:rsidRPr="002F4565">
        <w:rPr>
          <w:lang w:val="pt-BR"/>
        </w:rPr>
        <w:t xml:space="preserve">para o </w:t>
      </w:r>
      <w:r w:rsidR="00FB4401" w:rsidRPr="002F4565">
        <w:rPr>
          <w:lang w:val="pt-BR"/>
        </w:rPr>
        <w:t>mercado</w:t>
      </w:r>
      <w:r w:rsidR="003F41C2" w:rsidRPr="002F4565">
        <w:rPr>
          <w:lang w:val="pt-BR"/>
        </w:rPr>
        <w:t xml:space="preserve"> doméstico</w:t>
      </w:r>
      <w:r w:rsidRPr="002F4565">
        <w:rPr>
          <w:lang w:val="pt-BR"/>
        </w:rPr>
        <w:t xml:space="preserve">. </w:t>
      </w:r>
      <w:r w:rsidR="003F41C2" w:rsidRPr="002F4565">
        <w:rPr>
          <w:lang w:val="pt-BR"/>
        </w:rPr>
        <w:t xml:space="preserve">Isto </w:t>
      </w:r>
      <w:r w:rsidR="007D3BE3" w:rsidRPr="002F4565">
        <w:rPr>
          <w:lang w:val="pt-BR"/>
        </w:rPr>
        <w:t xml:space="preserve">evita as tarifas de </w:t>
      </w:r>
      <w:r w:rsidRPr="002F4565">
        <w:rPr>
          <w:lang w:val="pt-BR"/>
        </w:rPr>
        <w:t>import</w:t>
      </w:r>
      <w:r w:rsidR="007D3BE3" w:rsidRPr="002F4565">
        <w:rPr>
          <w:lang w:val="pt-BR"/>
        </w:rPr>
        <w:t xml:space="preserve">ação sobre </w:t>
      </w:r>
      <w:r w:rsidR="003F41C2" w:rsidRPr="002F4565">
        <w:rPr>
          <w:lang w:val="pt-BR"/>
        </w:rPr>
        <w:t>alimentos processados</w:t>
      </w:r>
      <w:r w:rsidRPr="002F4565">
        <w:rPr>
          <w:lang w:val="pt-BR"/>
        </w:rPr>
        <w:t xml:space="preserve"> </w:t>
      </w:r>
      <w:r w:rsidR="0049090C" w:rsidRPr="002F4565">
        <w:rPr>
          <w:lang w:val="pt-BR"/>
        </w:rPr>
        <w:t>e</w:t>
      </w:r>
      <w:r w:rsidRPr="002F4565">
        <w:rPr>
          <w:lang w:val="pt-BR"/>
        </w:rPr>
        <w:t xml:space="preserve"> redu</w:t>
      </w:r>
      <w:r w:rsidR="007D3BE3" w:rsidRPr="002F4565">
        <w:rPr>
          <w:lang w:val="pt-BR"/>
        </w:rPr>
        <w:t>z</w:t>
      </w:r>
      <w:r w:rsidRPr="002F4565">
        <w:rPr>
          <w:lang w:val="pt-BR"/>
        </w:rPr>
        <w:t xml:space="preserve"> </w:t>
      </w:r>
      <w:r w:rsidR="00261A8A" w:rsidRPr="002F4565">
        <w:rPr>
          <w:lang w:val="pt-BR"/>
        </w:rPr>
        <w:t>o</w:t>
      </w:r>
      <w:r w:rsidRPr="002F4565">
        <w:rPr>
          <w:lang w:val="pt-BR"/>
        </w:rPr>
        <w:t xml:space="preserve"> </w:t>
      </w:r>
      <w:r w:rsidR="007D3BE3" w:rsidRPr="002F4565">
        <w:rPr>
          <w:lang w:val="pt-BR"/>
        </w:rPr>
        <w:t>custo</w:t>
      </w:r>
      <w:r w:rsidRPr="002F4565">
        <w:rPr>
          <w:lang w:val="pt-BR"/>
        </w:rPr>
        <w:t xml:space="preserve"> </w:t>
      </w:r>
      <w:r w:rsidR="0049090C" w:rsidRPr="002F4565">
        <w:rPr>
          <w:lang w:val="pt-BR"/>
        </w:rPr>
        <w:t>d</w:t>
      </w:r>
      <w:r w:rsidR="007D3BE3" w:rsidRPr="002F4565">
        <w:rPr>
          <w:lang w:val="pt-BR"/>
        </w:rPr>
        <w:t>o</w:t>
      </w:r>
      <w:r w:rsidRPr="002F4565">
        <w:rPr>
          <w:lang w:val="pt-BR"/>
        </w:rPr>
        <w:t xml:space="preserve"> </w:t>
      </w:r>
      <w:r w:rsidR="00FB4DE4" w:rsidRPr="002F4565">
        <w:rPr>
          <w:lang w:val="pt-BR"/>
        </w:rPr>
        <w:t>transporte</w:t>
      </w:r>
      <w:r w:rsidRPr="002F4565">
        <w:rPr>
          <w:lang w:val="pt-BR"/>
        </w:rPr>
        <w:t xml:space="preserve">. </w:t>
      </w:r>
      <w:r w:rsidR="007D3BE3" w:rsidRPr="002F4565">
        <w:rPr>
          <w:lang w:val="pt-BR"/>
        </w:rPr>
        <w:t>O</w:t>
      </w:r>
      <w:r w:rsidR="00441B8F" w:rsidRPr="002F4565">
        <w:rPr>
          <w:lang w:val="pt-BR"/>
        </w:rPr>
        <w:t>s</w:t>
      </w:r>
      <w:r w:rsidR="007D3BE3" w:rsidRPr="002F4565">
        <w:rPr>
          <w:lang w:val="pt-BR"/>
        </w:rPr>
        <w:t xml:space="preserve"> </w:t>
      </w:r>
      <w:r w:rsidRPr="002F4565">
        <w:rPr>
          <w:lang w:val="pt-BR"/>
        </w:rPr>
        <w:t>FDI</w:t>
      </w:r>
      <w:r w:rsidR="00441B8F" w:rsidRPr="002F4565">
        <w:rPr>
          <w:lang w:val="pt-BR"/>
        </w:rPr>
        <w:t>s</w:t>
      </w:r>
      <w:r w:rsidRPr="002F4565">
        <w:rPr>
          <w:lang w:val="pt-BR"/>
        </w:rPr>
        <w:t xml:space="preserve"> </w:t>
      </w:r>
      <w:r w:rsidR="00441B8F" w:rsidRPr="002F4565">
        <w:rPr>
          <w:lang w:val="pt-BR"/>
        </w:rPr>
        <w:t xml:space="preserve">são </w:t>
      </w:r>
      <w:r w:rsidR="007D3BE3" w:rsidRPr="002F4565">
        <w:rPr>
          <w:lang w:val="pt-BR"/>
        </w:rPr>
        <w:t xml:space="preserve">mais </w:t>
      </w:r>
      <w:r w:rsidRPr="002F4565">
        <w:rPr>
          <w:lang w:val="pt-BR"/>
        </w:rPr>
        <w:t>crucia</w:t>
      </w:r>
      <w:r w:rsidR="00441B8F" w:rsidRPr="002F4565">
        <w:rPr>
          <w:lang w:val="pt-BR"/>
        </w:rPr>
        <w:t>is</w:t>
      </w:r>
      <w:r w:rsidRPr="002F4565">
        <w:rPr>
          <w:lang w:val="pt-BR"/>
        </w:rPr>
        <w:t xml:space="preserve"> </w:t>
      </w:r>
      <w:r w:rsidR="007D3BE3" w:rsidRPr="002F4565">
        <w:rPr>
          <w:lang w:val="pt-BR"/>
        </w:rPr>
        <w:t xml:space="preserve">do que o </w:t>
      </w:r>
      <w:r w:rsidR="00251FF5" w:rsidRPr="002F4565">
        <w:rPr>
          <w:lang w:val="pt-BR"/>
        </w:rPr>
        <w:t>comércio</w:t>
      </w:r>
      <w:r w:rsidR="007D3BE3" w:rsidRPr="002F4565">
        <w:rPr>
          <w:lang w:val="pt-BR"/>
        </w:rPr>
        <w:t xml:space="preserve"> em termos de aumento das vendas </w:t>
      </w:r>
      <w:r w:rsidR="0049090C" w:rsidRPr="002F4565">
        <w:rPr>
          <w:lang w:val="pt-BR"/>
        </w:rPr>
        <w:t>de</w:t>
      </w:r>
      <w:r w:rsidRPr="002F4565">
        <w:rPr>
          <w:lang w:val="pt-BR"/>
        </w:rPr>
        <w:t xml:space="preserve"> </w:t>
      </w:r>
      <w:r w:rsidR="003F41C2" w:rsidRPr="002F4565">
        <w:rPr>
          <w:lang w:val="pt-BR"/>
        </w:rPr>
        <w:t>alimentos processados</w:t>
      </w:r>
      <w:r w:rsidRPr="002F4565">
        <w:rPr>
          <w:lang w:val="pt-BR"/>
        </w:rPr>
        <w:t xml:space="preserve"> </w:t>
      </w:r>
      <w:r w:rsidR="00441B8F" w:rsidRPr="002F4565">
        <w:rPr>
          <w:lang w:val="pt-BR"/>
        </w:rPr>
        <w:t>nos</w:t>
      </w:r>
      <w:r w:rsidRPr="002F4565">
        <w:rPr>
          <w:lang w:val="pt-BR"/>
        </w:rPr>
        <w:t xml:space="preserve"> </w:t>
      </w:r>
      <w:r w:rsidR="00FB4DE4" w:rsidRPr="002F4565">
        <w:rPr>
          <w:lang w:val="pt-BR"/>
        </w:rPr>
        <w:t xml:space="preserve">países em </w:t>
      </w:r>
      <w:proofErr w:type="gramStart"/>
      <w:r w:rsidR="00FB4DE4" w:rsidRPr="002F4565">
        <w:rPr>
          <w:lang w:val="pt-BR"/>
        </w:rPr>
        <w:t>desenvolvimento</w:t>
      </w:r>
      <w:r w:rsidRPr="002F4565">
        <w:rPr>
          <w:lang w:val="pt-BR"/>
        </w:rPr>
        <w:t>.</w:t>
      </w:r>
      <w:proofErr w:type="gramEnd"/>
      <w:r w:rsidRPr="002F4565">
        <w:rPr>
          <w:vertAlign w:val="superscript"/>
          <w:lang w:val="pt-BR"/>
        </w:rPr>
        <w:t>23</w:t>
      </w:r>
      <w:r w:rsidRPr="002F4565">
        <w:rPr>
          <w:lang w:val="pt-BR"/>
        </w:rPr>
        <w:t xml:space="preserve"> </w:t>
      </w:r>
      <w:r w:rsidR="007D3BE3" w:rsidRPr="002F4565">
        <w:rPr>
          <w:lang w:val="pt-BR"/>
        </w:rPr>
        <w:t>Por exemplo</w:t>
      </w:r>
      <w:r w:rsidRPr="002F4565">
        <w:rPr>
          <w:lang w:val="pt-BR"/>
        </w:rPr>
        <w:t xml:space="preserve">, </w:t>
      </w:r>
      <w:r w:rsidR="00FB4DE4" w:rsidRPr="002F4565">
        <w:rPr>
          <w:lang w:val="pt-BR"/>
        </w:rPr>
        <w:t>em</w:t>
      </w:r>
      <w:r w:rsidRPr="002F4565">
        <w:rPr>
          <w:lang w:val="pt-BR"/>
        </w:rPr>
        <w:t xml:space="preserve"> </w:t>
      </w:r>
      <w:r w:rsidR="007D3BE3" w:rsidRPr="002F4565">
        <w:rPr>
          <w:lang w:val="pt-BR"/>
        </w:rPr>
        <w:t>alguns mercados emergentes</w:t>
      </w:r>
      <w:r w:rsidRPr="002F4565">
        <w:rPr>
          <w:lang w:val="pt-BR"/>
        </w:rPr>
        <w:t xml:space="preserve">, </w:t>
      </w:r>
      <w:r w:rsidR="00441B8F"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7D3BE3" w:rsidRPr="002F4565">
        <w:rPr>
          <w:lang w:val="pt-BR"/>
        </w:rPr>
        <w:t xml:space="preserve">processados está entre os maiores setores que atraem </w:t>
      </w:r>
      <w:r w:rsidRPr="002F4565">
        <w:rPr>
          <w:lang w:val="pt-BR"/>
        </w:rPr>
        <w:t>FDI</w:t>
      </w:r>
      <w:r w:rsidR="00441B8F" w:rsidRPr="002F4565">
        <w:rPr>
          <w:lang w:val="pt-BR"/>
        </w:rPr>
        <w:t>s</w:t>
      </w:r>
      <w:r w:rsidRPr="002F4565">
        <w:rPr>
          <w:lang w:val="pt-BR"/>
        </w:rPr>
        <w:t>.</w:t>
      </w:r>
      <w:r w:rsidRPr="002F4565">
        <w:rPr>
          <w:vertAlign w:val="superscript"/>
          <w:lang w:val="pt-BR"/>
        </w:rPr>
        <w:t>24</w:t>
      </w:r>
      <w:r w:rsidRPr="002F4565">
        <w:rPr>
          <w:lang w:val="pt-BR"/>
        </w:rPr>
        <w:t xml:space="preserve"> </w:t>
      </w:r>
    </w:p>
    <w:p w:rsidR="00115B91" w:rsidRPr="002F4565" w:rsidRDefault="007D3BE3" w:rsidP="0051636A">
      <w:pPr>
        <w:spacing w:before="120" w:after="0" w:line="240" w:lineRule="auto"/>
        <w:rPr>
          <w:lang w:val="pt-BR"/>
        </w:rPr>
      </w:pPr>
      <w:r w:rsidRPr="002F4565">
        <w:rPr>
          <w:lang w:val="pt-BR"/>
        </w:rPr>
        <w:t>A maior parte das vendas</w:t>
      </w:r>
      <w:r w:rsidR="00115B91" w:rsidRPr="002F4565">
        <w:rPr>
          <w:lang w:val="pt-BR"/>
        </w:rPr>
        <w:t xml:space="preserve"> </w:t>
      </w:r>
      <w:r w:rsidRPr="002F4565">
        <w:rPr>
          <w:lang w:val="pt-BR"/>
        </w:rPr>
        <w:t xml:space="preserve">de refrigerantes </w:t>
      </w:r>
      <w:r w:rsidR="00115B91" w:rsidRPr="002F4565">
        <w:rPr>
          <w:lang w:val="pt-BR"/>
        </w:rPr>
        <w:t>popular</w:t>
      </w:r>
      <w:r w:rsidRPr="002F4565">
        <w:rPr>
          <w:lang w:val="pt-BR"/>
        </w:rPr>
        <w:t>es</w:t>
      </w:r>
      <w:r w:rsidR="00115B91" w:rsidRPr="002F4565">
        <w:rPr>
          <w:lang w:val="pt-BR"/>
        </w:rPr>
        <w:t xml:space="preserve"> </w:t>
      </w:r>
      <w:r w:rsidR="0049090C" w:rsidRPr="002F4565">
        <w:rPr>
          <w:lang w:val="pt-BR"/>
        </w:rPr>
        <w:t>e</w:t>
      </w:r>
      <w:r w:rsidR="00115B91" w:rsidRPr="002F4565">
        <w:rPr>
          <w:lang w:val="pt-BR"/>
        </w:rPr>
        <w:t xml:space="preserve"> </w:t>
      </w:r>
      <w:r w:rsidRPr="002F4565">
        <w:rPr>
          <w:lang w:val="pt-BR"/>
        </w:rPr>
        <w:t xml:space="preserve">marcas de </w:t>
      </w:r>
      <w:r w:rsidRPr="002F4565">
        <w:rPr>
          <w:i/>
          <w:lang w:val="pt-BR"/>
        </w:rPr>
        <w:t>fast food</w:t>
      </w:r>
      <w:r w:rsidR="00115B91" w:rsidRPr="002F4565">
        <w:rPr>
          <w:lang w:val="pt-BR"/>
        </w:rPr>
        <w:t xml:space="preserve"> </w:t>
      </w:r>
      <w:r w:rsidR="00F21F55" w:rsidRPr="002F4565">
        <w:rPr>
          <w:lang w:val="pt-BR"/>
        </w:rPr>
        <w:t>também</w:t>
      </w:r>
      <w:r w:rsidR="00115B91" w:rsidRPr="002F4565">
        <w:rPr>
          <w:lang w:val="pt-BR"/>
        </w:rPr>
        <w:t xml:space="preserve"> </w:t>
      </w:r>
      <w:r w:rsidRPr="002F4565">
        <w:rPr>
          <w:lang w:val="pt-BR"/>
        </w:rPr>
        <w:t xml:space="preserve">se origina de </w:t>
      </w:r>
      <w:r w:rsidR="00FB4DE4" w:rsidRPr="002F4565">
        <w:rPr>
          <w:lang w:val="pt-BR"/>
        </w:rPr>
        <w:t xml:space="preserve">países em </w:t>
      </w:r>
      <w:proofErr w:type="gramStart"/>
      <w:r w:rsidR="00FB4DE4" w:rsidRPr="002F4565">
        <w:rPr>
          <w:lang w:val="pt-BR"/>
        </w:rPr>
        <w:t>desenvolvimento</w:t>
      </w:r>
      <w:r w:rsidR="00115B91" w:rsidRPr="002F4565">
        <w:rPr>
          <w:lang w:val="pt-BR"/>
        </w:rPr>
        <w:t>.</w:t>
      </w:r>
      <w:proofErr w:type="gramEnd"/>
      <w:r w:rsidR="00115B91" w:rsidRPr="002F4565">
        <w:rPr>
          <w:vertAlign w:val="superscript"/>
          <w:lang w:val="pt-BR"/>
        </w:rPr>
        <w:t>25</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9. </w:t>
      </w:r>
      <w:r w:rsidR="00FB4401" w:rsidRPr="002F4565">
        <w:rPr>
          <w:lang w:val="pt-BR"/>
        </w:rPr>
        <w:t>Supermercado</w:t>
      </w:r>
      <w:r w:rsidRPr="002F4565">
        <w:rPr>
          <w:lang w:val="pt-BR"/>
        </w:rPr>
        <w:t xml:space="preserve">s </w:t>
      </w:r>
      <w:r w:rsidR="0049090C" w:rsidRPr="002F4565">
        <w:rPr>
          <w:lang w:val="pt-BR"/>
        </w:rPr>
        <w:t>e</w:t>
      </w:r>
      <w:r w:rsidRPr="002F4565">
        <w:rPr>
          <w:lang w:val="pt-BR"/>
        </w:rPr>
        <w:t xml:space="preserve"> </w:t>
      </w:r>
      <w:r w:rsidR="007D3BE3" w:rsidRPr="002F4565">
        <w:rPr>
          <w:lang w:val="pt-BR"/>
        </w:rPr>
        <w:t xml:space="preserve">grandes cadeias de vendas de </w:t>
      </w:r>
      <w:r w:rsidR="0049090C" w:rsidRPr="002F4565">
        <w:rPr>
          <w:lang w:val="pt-BR"/>
        </w:rPr>
        <w:t>alimento</w:t>
      </w:r>
      <w:r w:rsidR="007D3BE3" w:rsidRPr="002F4565">
        <w:rPr>
          <w:lang w:val="pt-BR"/>
        </w:rPr>
        <w:t>s</w:t>
      </w:r>
      <w:r w:rsidRPr="002F4565">
        <w:rPr>
          <w:lang w:val="pt-BR"/>
        </w:rPr>
        <w:t xml:space="preserve"> </w:t>
      </w:r>
      <w:r w:rsidR="007D3BE3" w:rsidRPr="002F4565">
        <w:rPr>
          <w:lang w:val="pt-BR"/>
        </w:rPr>
        <w:t>substituem</w:t>
      </w:r>
      <w:r w:rsidR="00441B8F" w:rsidRPr="002F4565">
        <w:rPr>
          <w:lang w:val="pt-BR"/>
        </w:rPr>
        <w:t>,</w:t>
      </w:r>
      <w:r w:rsidR="007D3BE3" w:rsidRPr="002F4565">
        <w:rPr>
          <w:lang w:val="pt-BR"/>
        </w:rPr>
        <w:t xml:space="preserve"> em grande parte</w:t>
      </w:r>
      <w:r w:rsidR="00441B8F" w:rsidRPr="002F4565">
        <w:rPr>
          <w:lang w:val="pt-BR"/>
        </w:rPr>
        <w:t>,</w:t>
      </w:r>
      <w:r w:rsidR="007D3BE3" w:rsidRPr="002F4565">
        <w:rPr>
          <w:lang w:val="pt-BR"/>
        </w:rPr>
        <w:t xml:space="preserve"> os mercados de alimentos frescos com</w:t>
      </w:r>
      <w:r w:rsidR="00441B8F" w:rsidRPr="002F4565">
        <w:rPr>
          <w:lang w:val="pt-BR"/>
        </w:rPr>
        <w:t>o</w:t>
      </w:r>
      <w:r w:rsidR="007D3BE3" w:rsidRPr="002F4565">
        <w:rPr>
          <w:lang w:val="pt-BR"/>
        </w:rPr>
        <w:t xml:space="preserve"> importante fonte de </w:t>
      </w:r>
      <w:r w:rsidR="005A25F5" w:rsidRPr="002F4565">
        <w:rPr>
          <w:lang w:val="pt-BR"/>
        </w:rPr>
        <w:t>suprimento</w:t>
      </w:r>
      <w:r w:rsidRPr="002F4565">
        <w:rPr>
          <w:lang w:val="pt-BR"/>
        </w:rPr>
        <w:t xml:space="preserve"> </w:t>
      </w:r>
      <w:r w:rsidR="007D3BE3" w:rsidRPr="002F4565">
        <w:rPr>
          <w:lang w:val="pt-BR"/>
        </w:rPr>
        <w:t xml:space="preserve">de alimentos </w:t>
      </w:r>
      <w:r w:rsidR="00FB4DE4" w:rsidRPr="002F4565">
        <w:rPr>
          <w:lang w:val="pt-BR"/>
        </w:rPr>
        <w:t>em</w:t>
      </w:r>
      <w:r w:rsidRPr="002F4565">
        <w:rPr>
          <w:lang w:val="pt-BR"/>
        </w:rPr>
        <w:t xml:space="preserve"> </w:t>
      </w:r>
      <w:r w:rsidR="007D3BE3" w:rsidRPr="002F4565">
        <w:rPr>
          <w:lang w:val="pt-BR"/>
        </w:rPr>
        <w:t xml:space="preserve">muitos </w:t>
      </w:r>
      <w:proofErr w:type="gramStart"/>
      <w:r w:rsidR="00FB4DE4" w:rsidRPr="002F4565">
        <w:rPr>
          <w:lang w:val="pt-BR"/>
        </w:rPr>
        <w:t>países</w:t>
      </w:r>
      <w:r w:rsidRPr="002F4565">
        <w:rPr>
          <w:lang w:val="pt-BR"/>
        </w:rPr>
        <w:t>,</w:t>
      </w:r>
      <w:proofErr w:type="gramEnd"/>
      <w:r w:rsidRPr="002F4565">
        <w:rPr>
          <w:vertAlign w:val="superscript"/>
          <w:lang w:val="pt-BR"/>
        </w:rPr>
        <w:t>26</w:t>
      </w:r>
      <w:r w:rsidRPr="002F4565">
        <w:rPr>
          <w:lang w:val="pt-BR"/>
        </w:rPr>
        <w:t xml:space="preserve"> </w:t>
      </w:r>
      <w:r w:rsidR="0049090C" w:rsidRPr="002F4565">
        <w:rPr>
          <w:lang w:val="pt-BR"/>
        </w:rPr>
        <w:t>e</w:t>
      </w:r>
      <w:r w:rsidRPr="002F4565">
        <w:rPr>
          <w:lang w:val="pt-BR"/>
        </w:rPr>
        <w:t xml:space="preserve"> </w:t>
      </w:r>
      <w:r w:rsidR="007D3BE3" w:rsidRPr="002F4565">
        <w:rPr>
          <w:lang w:val="pt-BR"/>
        </w:rPr>
        <w:t xml:space="preserve">em ritmo mais rápido nos </w:t>
      </w:r>
      <w:r w:rsidR="00FB4DE4" w:rsidRPr="002F4565">
        <w:rPr>
          <w:lang w:val="pt-BR"/>
        </w:rPr>
        <w:t>países</w:t>
      </w:r>
      <w:r w:rsidR="007D3BE3" w:rsidRPr="002F4565">
        <w:rPr>
          <w:lang w:val="pt-BR"/>
        </w:rPr>
        <w:t xml:space="preserve"> em desenvolvimento no que nos </w:t>
      </w:r>
      <w:r w:rsidR="00441B8F" w:rsidRPr="002F4565">
        <w:rPr>
          <w:lang w:val="pt-BR"/>
        </w:rPr>
        <w:t xml:space="preserve">países </w:t>
      </w:r>
      <w:r w:rsidR="007D3BE3" w:rsidRPr="002F4565">
        <w:rPr>
          <w:lang w:val="pt-BR"/>
        </w:rPr>
        <w:t>desenvolvidos</w:t>
      </w:r>
      <w:r w:rsidRPr="002F4565">
        <w:rPr>
          <w:lang w:val="pt-BR"/>
        </w:rPr>
        <w:t>.</w:t>
      </w:r>
      <w:r w:rsidRPr="002F4565">
        <w:rPr>
          <w:vertAlign w:val="superscript"/>
          <w:lang w:val="pt-BR"/>
        </w:rPr>
        <w:t>27</w:t>
      </w:r>
      <w:r w:rsidRPr="002F4565">
        <w:rPr>
          <w:lang w:val="pt-BR"/>
        </w:rPr>
        <w:t xml:space="preserve"> </w:t>
      </w:r>
      <w:r w:rsidR="00441B8F" w:rsidRPr="002F4565">
        <w:rPr>
          <w:lang w:val="pt-BR"/>
        </w:rPr>
        <w:t>O</w:t>
      </w:r>
      <w:r w:rsidR="007D3BE3" w:rsidRPr="002F4565">
        <w:rPr>
          <w:lang w:val="pt-BR"/>
        </w:rPr>
        <w:t>s s</w:t>
      </w:r>
      <w:r w:rsidR="00FB4401" w:rsidRPr="002F4565">
        <w:rPr>
          <w:lang w:val="pt-BR"/>
        </w:rPr>
        <w:t>upermercado</w:t>
      </w:r>
      <w:r w:rsidRPr="002F4565">
        <w:rPr>
          <w:lang w:val="pt-BR"/>
        </w:rPr>
        <w:t>s base</w:t>
      </w:r>
      <w:r w:rsidR="007D3BE3" w:rsidRPr="002F4565">
        <w:rPr>
          <w:lang w:val="pt-BR"/>
        </w:rPr>
        <w:t xml:space="preserve">ados na América do Norte e </w:t>
      </w:r>
      <w:r w:rsidRPr="002F4565">
        <w:rPr>
          <w:lang w:val="pt-BR"/>
        </w:rPr>
        <w:t>Europ</w:t>
      </w:r>
      <w:r w:rsidR="007D3BE3" w:rsidRPr="002F4565">
        <w:rPr>
          <w:lang w:val="pt-BR"/>
        </w:rPr>
        <w:t>a</w:t>
      </w:r>
      <w:r w:rsidRPr="002F4565">
        <w:rPr>
          <w:lang w:val="pt-BR"/>
        </w:rPr>
        <w:t xml:space="preserve"> </w:t>
      </w:r>
      <w:r w:rsidR="007D3BE3" w:rsidRPr="002F4565">
        <w:rPr>
          <w:lang w:val="pt-BR"/>
        </w:rPr>
        <w:t>investiram pesadamente na Á</w:t>
      </w:r>
      <w:r w:rsidRPr="002F4565">
        <w:rPr>
          <w:lang w:val="pt-BR"/>
        </w:rPr>
        <w:t xml:space="preserve">frica, </w:t>
      </w:r>
      <w:r w:rsidR="007D3BE3" w:rsidRPr="002F4565">
        <w:rPr>
          <w:lang w:val="pt-BR"/>
        </w:rPr>
        <w:t>Á</w:t>
      </w:r>
      <w:r w:rsidRPr="002F4565">
        <w:rPr>
          <w:lang w:val="pt-BR"/>
        </w:rPr>
        <w:t>sia, Europ</w:t>
      </w:r>
      <w:r w:rsidR="007D3BE3" w:rsidRPr="002F4565">
        <w:rPr>
          <w:lang w:val="pt-BR"/>
        </w:rPr>
        <w:t xml:space="preserve">a Central e Oriental </w:t>
      </w:r>
      <w:r w:rsidRPr="002F4565">
        <w:rPr>
          <w:lang w:val="pt-BR"/>
        </w:rPr>
        <w:t xml:space="preserve">e </w:t>
      </w:r>
      <w:r w:rsidR="007D3BE3" w:rsidRPr="002F4565">
        <w:rPr>
          <w:lang w:val="pt-BR"/>
        </w:rPr>
        <w:t>América Latina</w:t>
      </w:r>
      <w:r w:rsidRPr="002F4565">
        <w:rPr>
          <w:lang w:val="pt-BR"/>
        </w:rPr>
        <w:t xml:space="preserve">. </w:t>
      </w:r>
      <w:r w:rsidR="007D3BE3" w:rsidRPr="002F4565">
        <w:rPr>
          <w:lang w:val="pt-BR"/>
        </w:rPr>
        <w:t>Os s</w:t>
      </w:r>
      <w:r w:rsidR="00FB4401" w:rsidRPr="002F4565">
        <w:rPr>
          <w:lang w:val="pt-BR"/>
        </w:rPr>
        <w:t>upermercado</w:t>
      </w:r>
      <w:r w:rsidRPr="002F4565">
        <w:rPr>
          <w:lang w:val="pt-BR"/>
        </w:rPr>
        <w:t xml:space="preserve">s </w:t>
      </w:r>
      <w:r w:rsidR="0040430A" w:rsidRPr="002F4565">
        <w:rPr>
          <w:lang w:val="pt-BR"/>
        </w:rPr>
        <w:t>são</w:t>
      </w:r>
      <w:r w:rsidRPr="002F4565">
        <w:rPr>
          <w:lang w:val="pt-BR"/>
        </w:rPr>
        <w:t xml:space="preserve"> </w:t>
      </w:r>
      <w:r w:rsidR="007D3BE3" w:rsidRPr="002F4565">
        <w:rPr>
          <w:lang w:val="pt-BR"/>
        </w:rPr>
        <w:t xml:space="preserve">agora os principais varejistas da América </w:t>
      </w:r>
      <w:proofErr w:type="gramStart"/>
      <w:r w:rsidR="007D3BE3" w:rsidRPr="002F4565">
        <w:rPr>
          <w:lang w:val="pt-BR"/>
        </w:rPr>
        <w:t>Latina</w:t>
      </w:r>
      <w:r w:rsidRPr="002F4565">
        <w:rPr>
          <w:lang w:val="pt-BR"/>
        </w:rPr>
        <w:t>.</w:t>
      </w:r>
      <w:proofErr w:type="gramEnd"/>
      <w:r w:rsidRPr="002F4565">
        <w:rPr>
          <w:vertAlign w:val="superscript"/>
          <w:lang w:val="pt-BR"/>
        </w:rPr>
        <w:t>28</w:t>
      </w:r>
      <w:r w:rsidRPr="002F4565">
        <w:rPr>
          <w:lang w:val="pt-BR"/>
        </w:rPr>
        <w:t xml:space="preserve"> </w:t>
      </w:r>
      <w:r w:rsidR="007D3BE3" w:rsidRPr="002F4565">
        <w:rPr>
          <w:lang w:val="pt-BR"/>
        </w:rPr>
        <w:t>Em um país</w:t>
      </w:r>
      <w:r w:rsidRPr="002F4565">
        <w:rPr>
          <w:lang w:val="pt-BR"/>
        </w:rPr>
        <w:t>, aproxima</w:t>
      </w:r>
      <w:r w:rsidR="007D3BE3" w:rsidRPr="002F4565">
        <w:rPr>
          <w:lang w:val="pt-BR"/>
        </w:rPr>
        <w:t xml:space="preserve">damente três quartos </w:t>
      </w:r>
      <w:r w:rsidR="0049090C" w:rsidRPr="002F4565">
        <w:rPr>
          <w:lang w:val="pt-BR"/>
        </w:rPr>
        <w:t>d</w:t>
      </w:r>
      <w:r w:rsidR="00261A8A" w:rsidRPr="002F4565">
        <w:rPr>
          <w:lang w:val="pt-BR"/>
        </w:rPr>
        <w:t>o</w:t>
      </w:r>
      <w:r w:rsidR="00441B8F" w:rsidRPr="002F4565">
        <w:rPr>
          <w:lang w:val="pt-BR"/>
        </w:rPr>
        <w:t>s</w:t>
      </w:r>
      <w:r w:rsidRPr="002F4565">
        <w:rPr>
          <w:lang w:val="pt-BR"/>
        </w:rPr>
        <w:t xml:space="preserve"> FDI</w:t>
      </w:r>
      <w:r w:rsidR="00441B8F" w:rsidRPr="002F4565">
        <w:rPr>
          <w:lang w:val="pt-BR"/>
        </w:rPr>
        <w:t>s</w:t>
      </w:r>
      <w:r w:rsidRPr="002F4565">
        <w:rPr>
          <w:lang w:val="pt-BR"/>
        </w:rPr>
        <w:t xml:space="preserve"> </w:t>
      </w:r>
      <w:r w:rsidR="007D3BE3" w:rsidRPr="002F4565">
        <w:rPr>
          <w:lang w:val="pt-BR"/>
        </w:rPr>
        <w:t>flu</w:t>
      </w:r>
      <w:r w:rsidR="00441B8F" w:rsidRPr="002F4565">
        <w:rPr>
          <w:lang w:val="pt-BR"/>
        </w:rPr>
        <w:t>em</w:t>
      </w:r>
      <w:r w:rsidR="007D3BE3" w:rsidRPr="002F4565">
        <w:rPr>
          <w:lang w:val="pt-BR"/>
        </w:rPr>
        <w:t xml:space="preserve"> para </w:t>
      </w:r>
      <w:r w:rsidR="003F41C2" w:rsidRPr="002F4565">
        <w:rPr>
          <w:lang w:val="pt-BR"/>
        </w:rPr>
        <w:t xml:space="preserve">alimentos </w:t>
      </w:r>
      <w:r w:rsidR="007D3BE3" w:rsidRPr="002F4565">
        <w:rPr>
          <w:lang w:val="pt-BR"/>
        </w:rPr>
        <w:t xml:space="preserve">altamente </w:t>
      </w:r>
      <w:r w:rsidR="003F41C2" w:rsidRPr="002F4565">
        <w:rPr>
          <w:lang w:val="pt-BR"/>
        </w:rPr>
        <w:t>processados</w:t>
      </w:r>
      <w:r w:rsidRPr="002F4565">
        <w:rPr>
          <w:lang w:val="pt-BR"/>
        </w:rPr>
        <w:t xml:space="preserve"> </w:t>
      </w:r>
      <w:r w:rsidR="007D3BE3" w:rsidRPr="002F4565">
        <w:rPr>
          <w:lang w:val="pt-BR"/>
        </w:rPr>
        <w:t>como refrigerantes</w:t>
      </w:r>
      <w:r w:rsidRPr="002F4565">
        <w:rPr>
          <w:lang w:val="pt-BR"/>
        </w:rPr>
        <w:t xml:space="preserve">, </w:t>
      </w:r>
      <w:r w:rsidR="007D3BE3" w:rsidRPr="002F4565">
        <w:rPr>
          <w:lang w:val="pt-BR"/>
        </w:rPr>
        <w:t xml:space="preserve">lanches </w:t>
      </w:r>
      <w:r w:rsidR="0049090C" w:rsidRPr="002F4565">
        <w:rPr>
          <w:lang w:val="pt-BR"/>
        </w:rPr>
        <w:t>e</w:t>
      </w:r>
      <w:r w:rsidRPr="002F4565">
        <w:rPr>
          <w:lang w:val="pt-BR"/>
        </w:rPr>
        <w:t xml:space="preserve"> </w:t>
      </w:r>
      <w:r w:rsidR="007D3BE3" w:rsidRPr="002F4565">
        <w:rPr>
          <w:lang w:val="pt-BR"/>
        </w:rPr>
        <w:t>maionese</w:t>
      </w:r>
      <w:r w:rsidRPr="002F4565">
        <w:rPr>
          <w:lang w:val="pt-BR"/>
        </w:rPr>
        <w:t>.</w:t>
      </w:r>
      <w:r w:rsidRPr="002F4565">
        <w:rPr>
          <w:vertAlign w:val="superscript"/>
          <w:lang w:val="pt-BR"/>
        </w:rPr>
        <w:t>29</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III. Prom</w:t>
      </w:r>
      <w:r w:rsidR="00F21F55" w:rsidRPr="002F4565">
        <w:rPr>
          <w:lang w:val="pt-BR"/>
        </w:rPr>
        <w:t>oção</w:t>
      </w:r>
      <w:r w:rsidRPr="002F4565">
        <w:rPr>
          <w:lang w:val="pt-BR"/>
        </w:rPr>
        <w:t xml:space="preserve"> </w:t>
      </w:r>
      <w:r w:rsidR="0049090C" w:rsidRPr="002F4565">
        <w:rPr>
          <w:lang w:val="pt-BR"/>
        </w:rPr>
        <w:t>e</w:t>
      </w:r>
      <w:r w:rsidRPr="002F4565">
        <w:rPr>
          <w:lang w:val="pt-BR"/>
        </w:rPr>
        <w:t xml:space="preserve"> </w:t>
      </w:r>
      <w:r w:rsidR="00BC3868" w:rsidRPr="002F4565">
        <w:rPr>
          <w:lang w:val="pt-BR"/>
        </w:rPr>
        <w:t>publicidade</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p>
    <w:p w:rsidR="00117FB4" w:rsidRPr="002F4565" w:rsidRDefault="00115B91" w:rsidP="0051636A">
      <w:pPr>
        <w:spacing w:before="120" w:after="0" w:line="240" w:lineRule="auto"/>
        <w:rPr>
          <w:lang w:val="pt-BR"/>
        </w:rPr>
      </w:pPr>
      <w:r w:rsidRPr="002F4565">
        <w:rPr>
          <w:lang w:val="pt-BR"/>
        </w:rPr>
        <w:t xml:space="preserve">10. </w:t>
      </w:r>
      <w:r w:rsidR="007D3BE3" w:rsidRPr="002F4565">
        <w:rPr>
          <w:lang w:val="pt-BR"/>
        </w:rPr>
        <w:t xml:space="preserve">A </w:t>
      </w:r>
      <w:r w:rsidRPr="002F4565">
        <w:rPr>
          <w:lang w:val="pt-BR"/>
        </w:rPr>
        <w:t>prom</w:t>
      </w:r>
      <w:r w:rsidR="00F21F55" w:rsidRPr="002F4565">
        <w:rPr>
          <w:lang w:val="pt-BR"/>
        </w:rPr>
        <w:t>oção</w:t>
      </w:r>
      <w:r w:rsidRPr="002F4565">
        <w:rPr>
          <w:lang w:val="pt-BR"/>
        </w:rPr>
        <w:t xml:space="preserve">, </w:t>
      </w:r>
      <w:r w:rsidR="00BC3868" w:rsidRPr="002F4565">
        <w:rPr>
          <w:lang w:val="pt-BR"/>
        </w:rPr>
        <w:t>publicidade</w:t>
      </w:r>
      <w:r w:rsidRPr="002F4565">
        <w:rPr>
          <w:lang w:val="pt-BR"/>
        </w:rPr>
        <w:t xml:space="preserve"> </w:t>
      </w:r>
      <w:r w:rsidR="0049090C" w:rsidRPr="002F4565">
        <w:rPr>
          <w:lang w:val="pt-BR"/>
        </w:rPr>
        <w:t>e</w:t>
      </w:r>
      <w:r w:rsidRPr="002F4565">
        <w:rPr>
          <w:lang w:val="pt-BR"/>
        </w:rPr>
        <w:t xml:space="preserve"> </w:t>
      </w:r>
      <w:r w:rsidR="007D3BE3" w:rsidRPr="002F4565">
        <w:rPr>
          <w:lang w:val="pt-BR"/>
        </w:rPr>
        <w:t>propaganda</w:t>
      </w:r>
      <w:r w:rsidRPr="002F4565">
        <w:rPr>
          <w:lang w:val="pt-BR"/>
        </w:rPr>
        <w:t xml:space="preserve"> </w:t>
      </w:r>
      <w:r w:rsidR="007D3BE3" w:rsidRPr="002F4565">
        <w:rPr>
          <w:lang w:val="pt-BR"/>
        </w:rPr>
        <w:t xml:space="preserve">global de alimentos estão intimamente </w:t>
      </w:r>
      <w:r w:rsidR="0007577A" w:rsidRPr="002F4565">
        <w:rPr>
          <w:lang w:val="pt-BR"/>
        </w:rPr>
        <w:t xml:space="preserve">vinculadas à </w:t>
      </w:r>
      <w:r w:rsidRPr="002F4565">
        <w:rPr>
          <w:lang w:val="pt-BR"/>
        </w:rPr>
        <w:t>globaliz</w:t>
      </w:r>
      <w:r w:rsidR="00F21F55" w:rsidRPr="002F4565">
        <w:rPr>
          <w:lang w:val="pt-BR"/>
        </w:rPr>
        <w:t>ação</w:t>
      </w:r>
      <w:r w:rsidRPr="002F4565">
        <w:rPr>
          <w:lang w:val="pt-BR"/>
        </w:rPr>
        <w:t xml:space="preserve">, </w:t>
      </w:r>
      <w:r w:rsidR="0007577A" w:rsidRPr="002F4565">
        <w:rPr>
          <w:lang w:val="pt-BR"/>
        </w:rPr>
        <w:t xml:space="preserve">levando </w:t>
      </w:r>
      <w:r w:rsidR="007D3BE3" w:rsidRPr="002F4565">
        <w:rPr>
          <w:lang w:val="pt-BR"/>
        </w:rPr>
        <w:t xml:space="preserve">a </w:t>
      </w:r>
      <w:r w:rsidR="00FB4401" w:rsidRPr="002F4565">
        <w:rPr>
          <w:lang w:val="pt-BR"/>
        </w:rPr>
        <w:t>transiç</w:t>
      </w:r>
      <w:r w:rsidR="007D3BE3" w:rsidRPr="002F4565">
        <w:rPr>
          <w:lang w:val="pt-BR"/>
        </w:rPr>
        <w:t>ões</w:t>
      </w:r>
      <w:r w:rsidRPr="002F4565">
        <w:rPr>
          <w:lang w:val="pt-BR"/>
        </w:rPr>
        <w:t xml:space="preserve"> </w:t>
      </w:r>
      <w:r w:rsidR="007D3BE3" w:rsidRPr="002F4565">
        <w:rPr>
          <w:lang w:val="pt-BR"/>
        </w:rPr>
        <w:t xml:space="preserve">de dieta para </w:t>
      </w:r>
      <w:r w:rsidR="00261A8A" w:rsidRPr="002F4565">
        <w:rPr>
          <w:lang w:val="pt-BR"/>
        </w:rPr>
        <w:t>alimentos pouco saudáveis</w:t>
      </w:r>
      <w:r w:rsidRPr="002F4565">
        <w:rPr>
          <w:lang w:val="pt-BR"/>
        </w:rPr>
        <w:t xml:space="preserve">. </w:t>
      </w:r>
      <w:r w:rsidR="0049090C" w:rsidRPr="002F4565">
        <w:rPr>
          <w:lang w:val="pt-BR"/>
        </w:rPr>
        <w:t>O</w:t>
      </w:r>
      <w:r w:rsidRPr="002F4565">
        <w:rPr>
          <w:lang w:val="pt-BR"/>
        </w:rPr>
        <w:t xml:space="preserve"> </w:t>
      </w:r>
      <w:r w:rsidR="007E67D2" w:rsidRPr="002F4565">
        <w:rPr>
          <w:lang w:val="pt-BR"/>
        </w:rPr>
        <w:t xml:space="preserve">objetivo </w:t>
      </w:r>
      <w:r w:rsidR="00BC3868" w:rsidRPr="002F4565">
        <w:rPr>
          <w:lang w:val="pt-BR"/>
        </w:rPr>
        <w:t>da publicidade</w:t>
      </w:r>
      <w:r w:rsidR="007E67D2" w:rsidRPr="002F4565">
        <w:rPr>
          <w:lang w:val="pt-BR"/>
        </w:rPr>
        <w:t xml:space="preserve"> de alimentos</w:t>
      </w:r>
      <w:r w:rsidRPr="002F4565">
        <w:rPr>
          <w:lang w:val="pt-BR"/>
        </w:rPr>
        <w:t xml:space="preserve"> </w:t>
      </w:r>
      <w:r w:rsidR="005A25F5" w:rsidRPr="002F4565">
        <w:rPr>
          <w:lang w:val="pt-BR"/>
        </w:rPr>
        <w:t>é</w:t>
      </w:r>
      <w:r w:rsidRPr="002F4565">
        <w:rPr>
          <w:lang w:val="pt-BR"/>
        </w:rPr>
        <w:t xml:space="preserve"> </w:t>
      </w:r>
      <w:r w:rsidR="007E67D2" w:rsidRPr="002F4565">
        <w:rPr>
          <w:lang w:val="pt-BR"/>
        </w:rPr>
        <w:t>aumentar a demanda de</w:t>
      </w:r>
      <w:r w:rsidRPr="002F4565">
        <w:rPr>
          <w:lang w:val="pt-BR"/>
        </w:rPr>
        <w:t xml:space="preserve"> </w:t>
      </w:r>
      <w:r w:rsidR="00B5729E" w:rsidRPr="002F4565">
        <w:rPr>
          <w:lang w:val="pt-BR"/>
        </w:rPr>
        <w:t>produto</w:t>
      </w:r>
      <w:r w:rsidRPr="002F4565">
        <w:rPr>
          <w:lang w:val="pt-BR"/>
        </w:rPr>
        <w:t xml:space="preserve">s </w:t>
      </w:r>
      <w:r w:rsidR="007E67D2" w:rsidRPr="002F4565">
        <w:rPr>
          <w:lang w:val="pt-BR"/>
        </w:rPr>
        <w:t xml:space="preserve">ao fazer as </w:t>
      </w:r>
      <w:r w:rsidR="006A31E1" w:rsidRPr="002F4565">
        <w:rPr>
          <w:lang w:val="pt-BR"/>
        </w:rPr>
        <w:t>pessoas</w:t>
      </w:r>
      <w:r w:rsidRPr="002F4565">
        <w:rPr>
          <w:lang w:val="pt-BR"/>
        </w:rPr>
        <w:t xml:space="preserve"> </w:t>
      </w:r>
      <w:r w:rsidR="007E67D2" w:rsidRPr="002F4565">
        <w:rPr>
          <w:lang w:val="pt-BR"/>
        </w:rPr>
        <w:t xml:space="preserve">desenvolver o </w:t>
      </w:r>
      <w:r w:rsidR="0007577A" w:rsidRPr="002F4565">
        <w:rPr>
          <w:lang w:val="pt-BR"/>
        </w:rPr>
        <w:t>hábito</w:t>
      </w:r>
      <w:r w:rsidR="007E67D2" w:rsidRPr="002F4565">
        <w:rPr>
          <w:lang w:val="pt-BR"/>
        </w:rPr>
        <w:t xml:space="preserve"> de </w:t>
      </w:r>
      <w:r w:rsidRPr="002F4565">
        <w:rPr>
          <w:lang w:val="pt-BR"/>
        </w:rPr>
        <w:t>consumi</w:t>
      </w:r>
      <w:r w:rsidR="007E67D2" w:rsidRPr="002F4565">
        <w:rPr>
          <w:lang w:val="pt-BR"/>
        </w:rPr>
        <w:t xml:space="preserve">r </w:t>
      </w:r>
      <w:r w:rsidR="00261A8A" w:rsidRPr="002F4565">
        <w:rPr>
          <w:lang w:val="pt-BR"/>
        </w:rPr>
        <w:t>o</w:t>
      </w:r>
      <w:r w:rsidRPr="002F4565">
        <w:rPr>
          <w:lang w:val="pt-BR"/>
        </w:rPr>
        <w:t xml:space="preserve"> </w:t>
      </w:r>
      <w:r w:rsidR="00B5729E" w:rsidRPr="002F4565">
        <w:rPr>
          <w:lang w:val="pt-BR"/>
        </w:rPr>
        <w:t>produto</w:t>
      </w:r>
      <w:r w:rsidRPr="002F4565">
        <w:rPr>
          <w:lang w:val="pt-BR"/>
        </w:rPr>
        <w:t xml:space="preserve"> regular</w:t>
      </w:r>
      <w:r w:rsidR="007E67D2" w:rsidRPr="002F4565">
        <w:rPr>
          <w:lang w:val="pt-BR"/>
        </w:rPr>
        <w:t>mente</w:t>
      </w:r>
      <w:r w:rsidRPr="002F4565">
        <w:rPr>
          <w:lang w:val="pt-BR"/>
        </w:rPr>
        <w:t xml:space="preserve">. </w:t>
      </w:r>
      <w:r w:rsidR="007E67D2" w:rsidRPr="002F4565">
        <w:rPr>
          <w:lang w:val="pt-BR"/>
        </w:rPr>
        <w:t xml:space="preserve">As estratégias expansionistas agressivas buscadas pelas </w:t>
      </w:r>
      <w:r w:rsidRPr="002F4565">
        <w:rPr>
          <w:lang w:val="pt-BR"/>
        </w:rPr>
        <w:t xml:space="preserve">TNCs </w:t>
      </w:r>
      <w:r w:rsidR="0007577A" w:rsidRPr="002F4565">
        <w:rPr>
          <w:lang w:val="pt-BR"/>
        </w:rPr>
        <w:t>nas</w:t>
      </w:r>
      <w:r w:rsidRPr="002F4565">
        <w:rPr>
          <w:lang w:val="pt-BR"/>
        </w:rPr>
        <w:t xml:space="preserve"> economi</w:t>
      </w:r>
      <w:r w:rsidR="007E67D2" w:rsidRPr="002F4565">
        <w:rPr>
          <w:lang w:val="pt-BR"/>
        </w:rPr>
        <w:t xml:space="preserve">as emergentes nas últimas décadas aumentaram a </w:t>
      </w:r>
      <w:r w:rsidRPr="002F4565">
        <w:rPr>
          <w:lang w:val="pt-BR"/>
        </w:rPr>
        <w:t>visi</w:t>
      </w:r>
      <w:r w:rsidR="0049090C" w:rsidRPr="002F4565">
        <w:rPr>
          <w:lang w:val="pt-BR"/>
        </w:rPr>
        <w:t>bilidade</w:t>
      </w:r>
      <w:r w:rsidRPr="002F4565">
        <w:rPr>
          <w:lang w:val="pt-BR"/>
        </w:rPr>
        <w:t xml:space="preserve"> </w:t>
      </w:r>
      <w:r w:rsidR="0049090C" w:rsidRPr="002F4565">
        <w:rPr>
          <w:lang w:val="pt-BR"/>
        </w:rPr>
        <w:t>e</w:t>
      </w:r>
      <w:r w:rsidRPr="002F4565">
        <w:rPr>
          <w:lang w:val="pt-BR"/>
        </w:rPr>
        <w:t xml:space="preserve"> familiari</w:t>
      </w:r>
      <w:r w:rsidR="007E67D2" w:rsidRPr="002F4565">
        <w:rPr>
          <w:lang w:val="pt-BR"/>
        </w:rPr>
        <w:t xml:space="preserve">dade das marcas </w:t>
      </w:r>
      <w:r w:rsidRPr="002F4565">
        <w:rPr>
          <w:lang w:val="pt-BR"/>
        </w:rPr>
        <w:t>globa</w:t>
      </w:r>
      <w:r w:rsidR="007E67D2" w:rsidRPr="002F4565">
        <w:rPr>
          <w:lang w:val="pt-BR"/>
        </w:rPr>
        <w:t xml:space="preserve">is de </w:t>
      </w:r>
      <w:r w:rsidR="0049090C" w:rsidRPr="002F4565">
        <w:rPr>
          <w:lang w:val="pt-BR"/>
        </w:rPr>
        <w:t>alimento</w:t>
      </w:r>
      <w:r w:rsidR="0007577A" w:rsidRPr="002F4565">
        <w:rPr>
          <w:lang w:val="pt-BR"/>
        </w:rPr>
        <w:t>s</w:t>
      </w:r>
      <w:r w:rsidRPr="002F4565">
        <w:rPr>
          <w:lang w:val="pt-BR"/>
        </w:rPr>
        <w:t xml:space="preserve">, </w:t>
      </w:r>
      <w:r w:rsidR="007E67D2" w:rsidRPr="002F4565">
        <w:rPr>
          <w:lang w:val="pt-BR"/>
        </w:rPr>
        <w:t xml:space="preserve">que </w:t>
      </w:r>
      <w:r w:rsidR="0040430A" w:rsidRPr="002F4565">
        <w:rPr>
          <w:lang w:val="pt-BR"/>
        </w:rPr>
        <w:t>são</w:t>
      </w:r>
      <w:r w:rsidRPr="002F4565">
        <w:rPr>
          <w:lang w:val="pt-BR"/>
        </w:rPr>
        <w:t xml:space="preserve"> </w:t>
      </w:r>
      <w:r w:rsidR="007E67D2" w:rsidRPr="002F4565">
        <w:rPr>
          <w:lang w:val="pt-BR"/>
        </w:rPr>
        <w:t xml:space="preserve">então alavancadas para aumentar o </w:t>
      </w:r>
      <w:r w:rsidR="0049090C" w:rsidRPr="002F4565">
        <w:rPr>
          <w:lang w:val="pt-BR"/>
        </w:rPr>
        <w:t>consumo</w:t>
      </w:r>
      <w:r w:rsidRPr="002F4565">
        <w:rPr>
          <w:lang w:val="pt-BR"/>
        </w:rPr>
        <w:t xml:space="preserve"> </w:t>
      </w:r>
      <w:r w:rsidR="0049090C" w:rsidRPr="002F4565">
        <w:rPr>
          <w:lang w:val="pt-BR"/>
        </w:rPr>
        <w:t>d</w:t>
      </w:r>
      <w:r w:rsidR="0040430A" w:rsidRPr="002F4565">
        <w:rPr>
          <w:lang w:val="pt-BR"/>
        </w:rPr>
        <w:t>estes</w:t>
      </w:r>
      <w:r w:rsidRPr="002F4565">
        <w:rPr>
          <w:lang w:val="pt-BR"/>
        </w:rPr>
        <w:t xml:space="preserve"> </w:t>
      </w:r>
      <w:r w:rsidR="00B5729E" w:rsidRPr="002F4565">
        <w:rPr>
          <w:lang w:val="pt-BR"/>
        </w:rPr>
        <w:t>produto</w:t>
      </w:r>
      <w:r w:rsidRPr="002F4565">
        <w:rPr>
          <w:lang w:val="pt-BR"/>
        </w:rPr>
        <w:t>s.</w:t>
      </w:r>
    </w:p>
    <w:p w:rsidR="00115B91" w:rsidRPr="002F4565" w:rsidRDefault="007E67D2" w:rsidP="0051636A">
      <w:pPr>
        <w:spacing w:before="120" w:after="0" w:line="240" w:lineRule="auto"/>
        <w:rPr>
          <w:lang w:val="pt-BR"/>
        </w:rPr>
      </w:pPr>
      <w:proofErr w:type="gramStart"/>
      <w:r w:rsidRPr="002F4565">
        <w:rPr>
          <w:lang w:val="pt-BR"/>
        </w:rPr>
        <w:t>S</w:t>
      </w:r>
      <w:r w:rsidR="0040430A" w:rsidRPr="002F4565">
        <w:rPr>
          <w:lang w:val="pt-BR"/>
        </w:rPr>
        <w:t>ão</w:t>
      </w:r>
      <w:proofErr w:type="gramEnd"/>
      <w:r w:rsidR="00115B91" w:rsidRPr="002F4565">
        <w:rPr>
          <w:lang w:val="pt-BR"/>
        </w:rPr>
        <w:t xml:space="preserve"> </w:t>
      </w:r>
      <w:r w:rsidRPr="002F4565">
        <w:rPr>
          <w:lang w:val="pt-BR"/>
        </w:rPr>
        <w:t xml:space="preserve">usadas ferramenta específicas de </w:t>
      </w:r>
      <w:r w:rsidR="00BC3868" w:rsidRPr="002F4565">
        <w:rPr>
          <w:lang w:val="pt-BR"/>
        </w:rPr>
        <w:t>publicidade</w:t>
      </w:r>
      <w:r w:rsidRPr="002F4565">
        <w:rPr>
          <w:lang w:val="pt-BR"/>
        </w:rPr>
        <w:t xml:space="preserve"> para aumentar o </w:t>
      </w:r>
      <w:r w:rsidR="0049090C" w:rsidRPr="002F4565">
        <w:rPr>
          <w:lang w:val="pt-BR"/>
        </w:rPr>
        <w:t>consumo</w:t>
      </w:r>
      <w:r w:rsidR="00115B91" w:rsidRPr="002F4565">
        <w:rPr>
          <w:lang w:val="pt-BR"/>
        </w:rPr>
        <w:t xml:space="preserve"> </w:t>
      </w:r>
      <w:r w:rsidRPr="002F4565">
        <w:rPr>
          <w:lang w:val="pt-BR"/>
        </w:rPr>
        <w:t xml:space="preserve">ao </w:t>
      </w:r>
      <w:r w:rsidR="00F21F55" w:rsidRPr="002F4565">
        <w:rPr>
          <w:lang w:val="pt-BR"/>
        </w:rPr>
        <w:t>garantir</w:t>
      </w:r>
      <w:r w:rsidR="00115B91" w:rsidRPr="002F4565">
        <w:rPr>
          <w:lang w:val="pt-BR"/>
        </w:rPr>
        <w:t xml:space="preserve"> </w:t>
      </w:r>
      <w:r w:rsidRPr="002F4565">
        <w:rPr>
          <w:lang w:val="pt-BR"/>
        </w:rPr>
        <w:t>a</w:t>
      </w:r>
      <w:r w:rsidR="00115B91" w:rsidRPr="002F4565">
        <w:rPr>
          <w:lang w:val="pt-BR"/>
        </w:rPr>
        <w:t xml:space="preserve"> presen</w:t>
      </w:r>
      <w:r w:rsidRPr="002F4565">
        <w:rPr>
          <w:lang w:val="pt-BR"/>
        </w:rPr>
        <w:t xml:space="preserve">ça das marcas </w:t>
      </w:r>
      <w:r w:rsidR="00115B91" w:rsidRPr="002F4565">
        <w:rPr>
          <w:lang w:val="pt-BR"/>
        </w:rPr>
        <w:t>globa</w:t>
      </w:r>
      <w:r w:rsidRPr="002F4565">
        <w:rPr>
          <w:lang w:val="pt-BR"/>
        </w:rPr>
        <w:t xml:space="preserve">is de </w:t>
      </w:r>
      <w:r w:rsidR="0049090C" w:rsidRPr="002F4565">
        <w:rPr>
          <w:lang w:val="pt-BR"/>
        </w:rPr>
        <w:t>alimento</w:t>
      </w:r>
      <w:r w:rsidRPr="002F4565">
        <w:rPr>
          <w:lang w:val="pt-BR"/>
        </w:rPr>
        <w:t>s</w:t>
      </w:r>
      <w:r w:rsidR="00115B91" w:rsidRPr="002F4565">
        <w:rPr>
          <w:lang w:val="pt-BR"/>
        </w:rPr>
        <w:t xml:space="preserve"> </w:t>
      </w:r>
      <w:r w:rsidRPr="002F4565">
        <w:rPr>
          <w:lang w:val="pt-BR"/>
        </w:rPr>
        <w:t>no maior número possível de lugares</w:t>
      </w:r>
      <w:r w:rsidR="0007577A" w:rsidRPr="002F4565">
        <w:rPr>
          <w:lang w:val="pt-BR"/>
        </w:rPr>
        <w:t>,</w:t>
      </w:r>
      <w:r w:rsidRPr="002F4565">
        <w:rPr>
          <w:lang w:val="pt-BR"/>
        </w:rPr>
        <w:t xml:space="preserve"> a preços acessíveis</w:t>
      </w:r>
      <w:r w:rsidR="00115B91" w:rsidRPr="002F4565">
        <w:rPr>
          <w:lang w:val="pt-BR"/>
        </w:rPr>
        <w:t xml:space="preserve">, </w:t>
      </w:r>
      <w:r w:rsidRPr="002F4565">
        <w:rPr>
          <w:lang w:val="pt-BR"/>
        </w:rPr>
        <w:t>ao mesmo tempo expandindo a</w:t>
      </w:r>
      <w:r w:rsidR="00115B91" w:rsidRPr="002F4565">
        <w:rPr>
          <w:lang w:val="pt-BR"/>
        </w:rPr>
        <w:t xml:space="preserve"> varie</w:t>
      </w:r>
      <w:r w:rsidRPr="002F4565">
        <w:rPr>
          <w:lang w:val="pt-BR"/>
        </w:rPr>
        <w:t xml:space="preserve">dade de seus </w:t>
      </w:r>
      <w:r w:rsidR="00B5729E" w:rsidRPr="002F4565">
        <w:rPr>
          <w:lang w:val="pt-BR"/>
        </w:rPr>
        <w:t>produto</w:t>
      </w:r>
      <w:r w:rsidR="00115B91" w:rsidRPr="002F4565">
        <w:rPr>
          <w:lang w:val="pt-BR"/>
        </w:rPr>
        <w:t xml:space="preserve">s </w:t>
      </w:r>
      <w:r w:rsidRPr="002F4565">
        <w:rPr>
          <w:lang w:val="pt-BR"/>
        </w:rPr>
        <w:t xml:space="preserve">para se ajustar ao gosto local </w:t>
      </w:r>
      <w:r w:rsidR="0049090C" w:rsidRPr="002F4565">
        <w:rPr>
          <w:lang w:val="pt-BR"/>
        </w:rPr>
        <w:t>e</w:t>
      </w:r>
      <w:r w:rsidR="00115B91" w:rsidRPr="002F4565">
        <w:rPr>
          <w:lang w:val="pt-BR"/>
        </w:rPr>
        <w:t xml:space="preserve"> </w:t>
      </w:r>
      <w:r w:rsidR="0007577A" w:rsidRPr="002F4565">
        <w:rPr>
          <w:lang w:val="pt-BR"/>
        </w:rPr>
        <w:t>ao poder aquisitivo</w:t>
      </w:r>
      <w:r w:rsidR="00115B91" w:rsidRPr="002F4565">
        <w:rPr>
          <w:lang w:val="pt-BR"/>
        </w:rPr>
        <w:t xml:space="preserve">. </w:t>
      </w:r>
      <w:r w:rsidRPr="002F4565">
        <w:rPr>
          <w:lang w:val="pt-BR"/>
        </w:rPr>
        <w:t xml:space="preserve">Para atender a algumas áreas rurais </w:t>
      </w:r>
      <w:r w:rsidR="0049090C" w:rsidRPr="002F4565">
        <w:rPr>
          <w:lang w:val="pt-BR"/>
        </w:rPr>
        <w:t>e</w:t>
      </w:r>
      <w:r w:rsidR="00115B91" w:rsidRPr="002F4565">
        <w:rPr>
          <w:lang w:val="pt-BR"/>
        </w:rPr>
        <w:t xml:space="preserve"> popul</w:t>
      </w:r>
      <w:r w:rsidR="00F21F55" w:rsidRPr="002F4565">
        <w:rPr>
          <w:lang w:val="pt-BR"/>
        </w:rPr>
        <w:t>ações</w:t>
      </w:r>
      <w:r w:rsidRPr="002F4565">
        <w:rPr>
          <w:lang w:val="pt-BR"/>
        </w:rPr>
        <w:t xml:space="preserve"> de baixa renda</w:t>
      </w:r>
      <w:r w:rsidR="00115B91" w:rsidRPr="002F4565">
        <w:rPr>
          <w:lang w:val="pt-BR"/>
        </w:rPr>
        <w:t xml:space="preserve">, </w:t>
      </w:r>
      <w:r w:rsidRPr="002F4565">
        <w:rPr>
          <w:lang w:val="pt-BR"/>
        </w:rPr>
        <w:t>fabricantes de refrigerante</w:t>
      </w:r>
      <w:r w:rsidR="0007577A" w:rsidRPr="002F4565">
        <w:rPr>
          <w:lang w:val="pt-BR"/>
        </w:rPr>
        <w:t>s</w:t>
      </w:r>
      <w:r w:rsidRPr="002F4565">
        <w:rPr>
          <w:lang w:val="pt-BR"/>
        </w:rPr>
        <w:t xml:space="preserve"> investiram </w:t>
      </w:r>
      <w:r w:rsidR="00FB4DE4" w:rsidRPr="002F4565">
        <w:rPr>
          <w:lang w:val="pt-BR"/>
        </w:rPr>
        <w:t>em</w:t>
      </w:r>
      <w:r w:rsidR="00115B91" w:rsidRPr="002F4565">
        <w:rPr>
          <w:lang w:val="pt-BR"/>
        </w:rPr>
        <w:t xml:space="preserve"> </w:t>
      </w:r>
      <w:r w:rsidRPr="002F4565">
        <w:rPr>
          <w:lang w:val="pt-BR"/>
        </w:rPr>
        <w:t xml:space="preserve">garrafas menores a preços </w:t>
      </w:r>
      <w:r w:rsidR="0007577A" w:rsidRPr="002F4565">
        <w:rPr>
          <w:lang w:val="pt-BR"/>
        </w:rPr>
        <w:t xml:space="preserve">mais baixos </w:t>
      </w:r>
      <w:r w:rsidRPr="002F4565">
        <w:rPr>
          <w:lang w:val="pt-BR"/>
        </w:rPr>
        <w:t xml:space="preserve">para criar aceitabilidade do </w:t>
      </w:r>
      <w:r w:rsidR="00B5729E" w:rsidRPr="002F4565">
        <w:rPr>
          <w:lang w:val="pt-BR"/>
        </w:rPr>
        <w:t>produto</w:t>
      </w:r>
      <w:r w:rsidR="00115B91" w:rsidRPr="002F4565">
        <w:rPr>
          <w:lang w:val="pt-BR"/>
        </w:rPr>
        <w:t xml:space="preserve">. </w:t>
      </w:r>
      <w:r w:rsidRPr="002F4565">
        <w:rPr>
          <w:lang w:val="pt-BR"/>
        </w:rPr>
        <w:t xml:space="preserve">Em </w:t>
      </w:r>
      <w:r w:rsidR="003F41C2" w:rsidRPr="002F4565">
        <w:rPr>
          <w:lang w:val="pt-BR"/>
        </w:rPr>
        <w:t>outros</w:t>
      </w:r>
      <w:r w:rsidR="00115B91" w:rsidRPr="002F4565">
        <w:rPr>
          <w:lang w:val="pt-BR"/>
        </w:rPr>
        <w:t xml:space="preserve"> </w:t>
      </w:r>
      <w:r w:rsidRPr="002F4565">
        <w:rPr>
          <w:lang w:val="pt-BR"/>
        </w:rPr>
        <w:t>locais</w:t>
      </w:r>
      <w:r w:rsidR="00115B91" w:rsidRPr="002F4565">
        <w:rPr>
          <w:lang w:val="pt-BR"/>
        </w:rPr>
        <w:t xml:space="preserve">, </w:t>
      </w:r>
      <w:r w:rsidRPr="002F4565">
        <w:rPr>
          <w:lang w:val="pt-BR"/>
        </w:rPr>
        <w:t xml:space="preserve">os tamanhos das porções </w:t>
      </w:r>
      <w:r w:rsidR="0040430A" w:rsidRPr="002F4565">
        <w:rPr>
          <w:lang w:val="pt-BR"/>
        </w:rPr>
        <w:t>são</w:t>
      </w:r>
      <w:r w:rsidR="00115B91" w:rsidRPr="002F4565">
        <w:rPr>
          <w:lang w:val="pt-BR"/>
        </w:rPr>
        <w:t xml:space="preserve"> </w:t>
      </w:r>
      <w:r w:rsidRPr="002F4565">
        <w:rPr>
          <w:lang w:val="pt-BR"/>
        </w:rPr>
        <w:t xml:space="preserve">aumentados para incentivar maior </w:t>
      </w:r>
      <w:proofErr w:type="gramStart"/>
      <w:r w:rsidR="0049090C" w:rsidRPr="002F4565">
        <w:rPr>
          <w:lang w:val="pt-BR"/>
        </w:rPr>
        <w:t>consumo</w:t>
      </w:r>
      <w:r w:rsidR="00115B91" w:rsidRPr="002F4565">
        <w:rPr>
          <w:lang w:val="pt-BR"/>
        </w:rPr>
        <w:t>.</w:t>
      </w:r>
      <w:proofErr w:type="gramEnd"/>
      <w:r w:rsidR="00115B91" w:rsidRPr="002F4565">
        <w:rPr>
          <w:vertAlign w:val="superscript"/>
          <w:lang w:val="pt-BR"/>
        </w:rPr>
        <w:t>30</w:t>
      </w:r>
      <w:r w:rsidR="00115B91" w:rsidRPr="002F4565">
        <w:rPr>
          <w:lang w:val="pt-BR"/>
        </w:rPr>
        <w:t xml:space="preserve"> </w:t>
      </w:r>
      <w:r w:rsidR="0007577A" w:rsidRPr="002F4565">
        <w:rPr>
          <w:lang w:val="pt-BR"/>
        </w:rPr>
        <w:t xml:space="preserve">Em </w:t>
      </w:r>
      <w:r w:rsidRPr="002F4565">
        <w:rPr>
          <w:lang w:val="pt-BR"/>
        </w:rPr>
        <w:t xml:space="preserve">nível </w:t>
      </w:r>
      <w:r w:rsidR="00115B91" w:rsidRPr="002F4565">
        <w:rPr>
          <w:lang w:val="pt-BR"/>
        </w:rPr>
        <w:t xml:space="preserve">individual, </w:t>
      </w:r>
      <w:r w:rsidRPr="002F4565">
        <w:rPr>
          <w:lang w:val="pt-BR"/>
        </w:rPr>
        <w:t xml:space="preserve">o aumento do poder aquisitivo </w:t>
      </w:r>
      <w:r w:rsidR="0049090C" w:rsidRPr="002F4565">
        <w:rPr>
          <w:lang w:val="pt-BR"/>
        </w:rPr>
        <w:t>e</w:t>
      </w:r>
      <w:r w:rsidR="00115B91" w:rsidRPr="002F4565">
        <w:rPr>
          <w:lang w:val="pt-BR"/>
        </w:rPr>
        <w:t xml:space="preserve"> </w:t>
      </w:r>
      <w:r w:rsidRPr="002F4565">
        <w:rPr>
          <w:lang w:val="pt-BR"/>
        </w:rPr>
        <w:t>a</w:t>
      </w:r>
      <w:r w:rsidR="00115B91" w:rsidRPr="002F4565">
        <w:rPr>
          <w:lang w:val="pt-BR"/>
        </w:rPr>
        <w:t xml:space="preserve"> conveni</w:t>
      </w:r>
      <w:r w:rsidRPr="002F4565">
        <w:rPr>
          <w:lang w:val="pt-BR"/>
        </w:rPr>
        <w:t>ência</w:t>
      </w:r>
      <w:r w:rsidR="00115B91" w:rsidRPr="002F4565">
        <w:rPr>
          <w:lang w:val="pt-BR"/>
        </w:rPr>
        <w:t xml:space="preserve"> </w:t>
      </w:r>
      <w:r w:rsidR="0049090C" w:rsidRPr="002F4565">
        <w:rPr>
          <w:lang w:val="pt-BR"/>
        </w:rPr>
        <w:t>d</w:t>
      </w:r>
      <w:r w:rsidRPr="002F4565">
        <w:rPr>
          <w:lang w:val="pt-BR"/>
        </w:rPr>
        <w:t xml:space="preserve">os </w:t>
      </w:r>
      <w:r w:rsidR="00B5729E" w:rsidRPr="002F4565">
        <w:rPr>
          <w:lang w:val="pt-BR"/>
        </w:rPr>
        <w:t>produto</w:t>
      </w:r>
      <w:r w:rsidR="00115B91" w:rsidRPr="002F4565">
        <w:rPr>
          <w:lang w:val="pt-BR"/>
        </w:rPr>
        <w:t xml:space="preserve">s </w:t>
      </w:r>
      <w:r w:rsidRPr="002F4565">
        <w:rPr>
          <w:lang w:val="pt-BR"/>
        </w:rPr>
        <w:t xml:space="preserve">prontos para consumo </w:t>
      </w:r>
      <w:r w:rsidR="00115B91" w:rsidRPr="002F4565">
        <w:rPr>
          <w:lang w:val="pt-BR"/>
        </w:rPr>
        <w:t>promo</w:t>
      </w:r>
      <w:r w:rsidRPr="002F4565">
        <w:rPr>
          <w:lang w:val="pt-BR"/>
        </w:rPr>
        <w:t xml:space="preserve">vem </w:t>
      </w:r>
      <w:r w:rsidR="00261A8A" w:rsidRPr="002F4565">
        <w:rPr>
          <w:lang w:val="pt-BR"/>
        </w:rPr>
        <w:t>o</w:t>
      </w:r>
      <w:r w:rsidR="00115B91" w:rsidRPr="002F4565">
        <w:rPr>
          <w:lang w:val="pt-BR"/>
        </w:rPr>
        <w:t xml:space="preserve"> </w:t>
      </w:r>
      <w:r w:rsidR="0049090C" w:rsidRPr="002F4565">
        <w:rPr>
          <w:lang w:val="pt-BR"/>
        </w:rPr>
        <w:t>consumo</w:t>
      </w:r>
      <w:r w:rsidR="00115B91" w:rsidRPr="002F4565">
        <w:rPr>
          <w:lang w:val="pt-BR"/>
        </w:rPr>
        <w:t xml:space="preserve"> </w:t>
      </w:r>
      <w:r w:rsidR="0049090C" w:rsidRPr="002F4565">
        <w:rPr>
          <w:lang w:val="pt-BR"/>
        </w:rPr>
        <w:t>de</w:t>
      </w:r>
      <w:r w:rsidR="00115B91" w:rsidRPr="002F4565">
        <w:rPr>
          <w:lang w:val="pt-BR"/>
        </w:rPr>
        <w:t xml:space="preserve"> </w:t>
      </w:r>
      <w:r w:rsidR="00261A8A" w:rsidRPr="002F4565">
        <w:rPr>
          <w:lang w:val="pt-BR"/>
        </w:rPr>
        <w:t>alimentos pouco saudáveis</w:t>
      </w:r>
      <w:r w:rsidR="00115B91" w:rsidRPr="002F4565">
        <w:rPr>
          <w:lang w:val="pt-BR"/>
        </w:rPr>
        <w:t xml:space="preserve">. </w:t>
      </w:r>
      <w:r w:rsidRPr="002F4565">
        <w:rPr>
          <w:lang w:val="pt-BR"/>
        </w:rPr>
        <w:t xml:space="preserve">Em nível da </w:t>
      </w:r>
      <w:r w:rsidR="00115B91" w:rsidRPr="002F4565">
        <w:rPr>
          <w:lang w:val="pt-BR"/>
        </w:rPr>
        <w:t>popul</w:t>
      </w:r>
      <w:r w:rsidR="00F21F55" w:rsidRPr="002F4565">
        <w:rPr>
          <w:lang w:val="pt-BR"/>
        </w:rPr>
        <w:t>ação</w:t>
      </w:r>
      <w:r w:rsidR="00115B91" w:rsidRPr="002F4565">
        <w:rPr>
          <w:lang w:val="pt-BR"/>
        </w:rPr>
        <w:t xml:space="preserve">, </w:t>
      </w:r>
      <w:r w:rsidRPr="002F4565">
        <w:rPr>
          <w:lang w:val="pt-BR"/>
        </w:rPr>
        <w:t xml:space="preserve">as estratégias de </w:t>
      </w:r>
      <w:r w:rsidR="00BC3868" w:rsidRPr="002F4565">
        <w:rPr>
          <w:lang w:val="pt-BR"/>
        </w:rPr>
        <w:t>publicidade</w:t>
      </w:r>
      <w:r w:rsidR="00115B91" w:rsidRPr="002F4565">
        <w:rPr>
          <w:lang w:val="pt-BR"/>
        </w:rPr>
        <w:t xml:space="preserve"> </w:t>
      </w:r>
      <w:r w:rsidRPr="002F4565">
        <w:rPr>
          <w:lang w:val="pt-BR"/>
        </w:rPr>
        <w:t xml:space="preserve">agressivas e sistemáticas usadas pelas </w:t>
      </w:r>
      <w:r w:rsidR="00115B91" w:rsidRPr="002F4565">
        <w:rPr>
          <w:lang w:val="pt-BR"/>
        </w:rPr>
        <w:t xml:space="preserve">TNCs </w:t>
      </w:r>
      <w:r w:rsidRPr="002F4565">
        <w:rPr>
          <w:lang w:val="pt-BR"/>
        </w:rPr>
        <w:t xml:space="preserve">alimentam esta </w:t>
      </w:r>
      <w:proofErr w:type="gramStart"/>
      <w:r w:rsidR="00115B91" w:rsidRPr="002F4565">
        <w:rPr>
          <w:lang w:val="pt-BR"/>
        </w:rPr>
        <w:t>demand</w:t>
      </w:r>
      <w:r w:rsidRPr="002F4565">
        <w:rPr>
          <w:lang w:val="pt-BR"/>
        </w:rPr>
        <w:t>a</w:t>
      </w:r>
      <w:r w:rsidR="00115B91" w:rsidRPr="002F4565">
        <w:rPr>
          <w:lang w:val="pt-BR"/>
        </w:rPr>
        <w:t>.</w:t>
      </w:r>
      <w:proofErr w:type="gramEnd"/>
      <w:r w:rsidR="00115B91" w:rsidRPr="002F4565">
        <w:rPr>
          <w:vertAlign w:val="superscript"/>
          <w:lang w:val="pt-BR"/>
        </w:rPr>
        <w:t>31</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11. </w:t>
      </w:r>
      <w:r w:rsidR="007E67D2"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7E67D2" w:rsidRPr="002F4565">
        <w:rPr>
          <w:lang w:val="pt-BR"/>
        </w:rPr>
        <w:t xml:space="preserve">gasta bilhões de dólares na </w:t>
      </w:r>
      <w:r w:rsidRPr="002F4565">
        <w:rPr>
          <w:lang w:val="pt-BR"/>
        </w:rPr>
        <w:t>prom</w:t>
      </w:r>
      <w:r w:rsidR="00F21F55" w:rsidRPr="002F4565">
        <w:rPr>
          <w:lang w:val="pt-BR"/>
        </w:rPr>
        <w:t>oção</w:t>
      </w:r>
      <w:r w:rsidRPr="002F4565">
        <w:rPr>
          <w:lang w:val="pt-BR"/>
        </w:rPr>
        <w:t xml:space="preserve"> </w:t>
      </w:r>
      <w:r w:rsidR="0049090C" w:rsidRPr="002F4565">
        <w:rPr>
          <w:lang w:val="pt-BR"/>
        </w:rPr>
        <w:t>e</w:t>
      </w:r>
      <w:r w:rsidRPr="002F4565">
        <w:rPr>
          <w:lang w:val="pt-BR"/>
        </w:rPr>
        <w:t xml:space="preserve"> </w:t>
      </w:r>
      <w:r w:rsidR="00BC3868" w:rsidRPr="002F4565">
        <w:rPr>
          <w:lang w:val="pt-BR"/>
        </w:rPr>
        <w:t>publicidade</w:t>
      </w:r>
      <w:r w:rsidRPr="002F4565">
        <w:rPr>
          <w:lang w:val="pt-BR"/>
        </w:rPr>
        <w:t xml:space="preserve"> </w:t>
      </w:r>
      <w:r w:rsidR="007E67D2" w:rsidRPr="002F4565">
        <w:rPr>
          <w:lang w:val="pt-BR"/>
        </w:rPr>
        <w:t xml:space="preserve">persistentes e agressivos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7E67D2" w:rsidRPr="002F4565">
        <w:rPr>
          <w:lang w:val="pt-BR"/>
        </w:rPr>
        <w:t xml:space="preserve">As </w:t>
      </w:r>
      <w:r w:rsidRPr="002F4565">
        <w:rPr>
          <w:lang w:val="pt-BR"/>
        </w:rPr>
        <w:t xml:space="preserve">TNCs </w:t>
      </w:r>
      <w:r w:rsidR="007E67D2" w:rsidRPr="002F4565">
        <w:rPr>
          <w:lang w:val="pt-BR"/>
        </w:rPr>
        <w:t xml:space="preserve">muitas vezes </w:t>
      </w:r>
      <w:r w:rsidR="00E415D7" w:rsidRPr="002F4565">
        <w:rPr>
          <w:lang w:val="pt-BR"/>
        </w:rPr>
        <w:t xml:space="preserve">celebram </w:t>
      </w:r>
      <w:r w:rsidRPr="002F4565">
        <w:rPr>
          <w:lang w:val="pt-BR"/>
        </w:rPr>
        <w:t>contra</w:t>
      </w:r>
      <w:r w:rsidR="00E415D7" w:rsidRPr="002F4565">
        <w:rPr>
          <w:lang w:val="pt-BR"/>
        </w:rPr>
        <w:t xml:space="preserve">tos exclusivos </w:t>
      </w:r>
      <w:r w:rsidR="00F21F55" w:rsidRPr="002F4565">
        <w:rPr>
          <w:lang w:val="pt-BR"/>
        </w:rPr>
        <w:lastRenderedPageBreak/>
        <w:t>com</w:t>
      </w:r>
      <w:r w:rsidRPr="002F4565">
        <w:rPr>
          <w:lang w:val="pt-BR"/>
        </w:rPr>
        <w:t xml:space="preserve"> </w:t>
      </w:r>
      <w:r w:rsidR="00E415D7" w:rsidRPr="002F4565">
        <w:rPr>
          <w:lang w:val="pt-BR"/>
        </w:rPr>
        <w:t xml:space="preserve">fabricantes de </w:t>
      </w:r>
      <w:r w:rsidR="00E415D7" w:rsidRPr="002F4565">
        <w:rPr>
          <w:i/>
          <w:lang w:val="pt-BR"/>
        </w:rPr>
        <w:t>fast food</w:t>
      </w:r>
      <w:r w:rsidR="00E415D7" w:rsidRPr="002F4565">
        <w:rPr>
          <w:lang w:val="pt-BR"/>
        </w:rPr>
        <w:t xml:space="preserve"> para vender </w:t>
      </w:r>
      <w:r w:rsidR="00261A8A" w:rsidRPr="002F4565">
        <w:rPr>
          <w:lang w:val="pt-BR"/>
        </w:rPr>
        <w:t>alimentos</w:t>
      </w:r>
      <w:r w:rsidRPr="002F4565">
        <w:rPr>
          <w:lang w:val="pt-BR"/>
        </w:rPr>
        <w:t xml:space="preserve">. </w:t>
      </w:r>
      <w:r w:rsidR="00E415D7" w:rsidRPr="002F4565">
        <w:rPr>
          <w:lang w:val="pt-BR"/>
        </w:rPr>
        <w:t xml:space="preserve">Estratégias variadas de preço </w:t>
      </w:r>
      <w:r w:rsidR="0040430A" w:rsidRPr="002F4565">
        <w:rPr>
          <w:lang w:val="pt-BR"/>
        </w:rPr>
        <w:t>são</w:t>
      </w:r>
      <w:r w:rsidRPr="002F4565">
        <w:rPr>
          <w:lang w:val="pt-BR"/>
        </w:rPr>
        <w:t xml:space="preserve"> us</w:t>
      </w:r>
      <w:r w:rsidR="00E415D7" w:rsidRPr="002F4565">
        <w:rPr>
          <w:lang w:val="pt-BR"/>
        </w:rPr>
        <w:t>adas</w:t>
      </w:r>
      <w:r w:rsidRPr="002F4565">
        <w:rPr>
          <w:lang w:val="pt-BR"/>
        </w:rPr>
        <w:t xml:space="preserve"> </w:t>
      </w:r>
      <w:r w:rsidR="00E415D7" w:rsidRPr="002F4565">
        <w:rPr>
          <w:lang w:val="pt-BR"/>
        </w:rPr>
        <w:t xml:space="preserve">como </w:t>
      </w:r>
      <w:r w:rsidR="00F21F55" w:rsidRPr="002F4565">
        <w:rPr>
          <w:lang w:val="pt-BR"/>
        </w:rPr>
        <w:t>mecanismo</w:t>
      </w:r>
      <w:r w:rsidRPr="002F4565">
        <w:rPr>
          <w:lang w:val="pt-BR"/>
        </w:rPr>
        <w:t xml:space="preserve"> </w:t>
      </w:r>
      <w:r w:rsidR="00E415D7" w:rsidRPr="002F4565">
        <w:rPr>
          <w:lang w:val="pt-BR"/>
        </w:rPr>
        <w:t xml:space="preserve">para impulsionar a </w:t>
      </w:r>
      <w:r w:rsidRPr="002F4565">
        <w:rPr>
          <w:lang w:val="pt-BR"/>
        </w:rPr>
        <w:t>demand</w:t>
      </w:r>
      <w:r w:rsidR="00E415D7" w:rsidRPr="002F4565">
        <w:rPr>
          <w:lang w:val="pt-BR"/>
        </w:rPr>
        <w:t>a</w:t>
      </w:r>
      <w:r w:rsidRPr="002F4565">
        <w:rPr>
          <w:lang w:val="pt-BR"/>
        </w:rPr>
        <w:t xml:space="preserve"> </w:t>
      </w:r>
      <w:r w:rsidR="00E415D7" w:rsidRPr="002F4565">
        <w:rPr>
          <w:lang w:val="pt-BR"/>
        </w:rPr>
        <w:t xml:space="preserve">de </w:t>
      </w:r>
      <w:r w:rsidR="00B5729E" w:rsidRPr="002F4565">
        <w:rPr>
          <w:lang w:val="pt-BR"/>
        </w:rPr>
        <w:t>produto</w:t>
      </w:r>
      <w:r w:rsidRPr="002F4565">
        <w:rPr>
          <w:lang w:val="pt-BR"/>
        </w:rPr>
        <w:t>s</w:t>
      </w:r>
      <w:r w:rsidR="00E415D7" w:rsidRPr="002F4565">
        <w:rPr>
          <w:lang w:val="pt-BR"/>
        </w:rPr>
        <w:t xml:space="preserve"> não saudáveis</w:t>
      </w:r>
      <w:r w:rsidRPr="002F4565">
        <w:rPr>
          <w:lang w:val="pt-BR"/>
        </w:rPr>
        <w:t xml:space="preserve">. </w:t>
      </w:r>
      <w:r w:rsidR="00E415D7" w:rsidRPr="002F4565">
        <w:rPr>
          <w:lang w:val="pt-BR"/>
        </w:rPr>
        <w:t>Os s</w:t>
      </w:r>
      <w:r w:rsidR="00FB4401" w:rsidRPr="002F4565">
        <w:rPr>
          <w:lang w:val="pt-BR"/>
        </w:rPr>
        <w:t>upermercado</w:t>
      </w:r>
      <w:r w:rsidRPr="002F4565">
        <w:rPr>
          <w:lang w:val="pt-BR"/>
        </w:rPr>
        <w:t xml:space="preserve">s </w:t>
      </w:r>
      <w:r w:rsidR="00F21F55" w:rsidRPr="002F4565">
        <w:rPr>
          <w:lang w:val="pt-BR"/>
        </w:rPr>
        <w:t>também</w:t>
      </w:r>
      <w:r w:rsidR="0007577A" w:rsidRPr="002F4565">
        <w:rPr>
          <w:lang w:val="pt-BR"/>
        </w:rPr>
        <w:t>,</w:t>
      </w:r>
      <w:r w:rsidRPr="002F4565">
        <w:rPr>
          <w:lang w:val="pt-BR"/>
        </w:rPr>
        <w:t xml:space="preserve"> </w:t>
      </w:r>
      <w:r w:rsidR="00E415D7" w:rsidRPr="002F4565">
        <w:rPr>
          <w:lang w:val="pt-BR"/>
        </w:rPr>
        <w:t>em geral</w:t>
      </w:r>
      <w:r w:rsidR="0007577A" w:rsidRPr="002F4565">
        <w:rPr>
          <w:lang w:val="pt-BR"/>
        </w:rPr>
        <w:t>,</w:t>
      </w:r>
      <w:r w:rsidR="00E415D7" w:rsidRPr="002F4565">
        <w:rPr>
          <w:lang w:val="pt-BR"/>
        </w:rPr>
        <w:t xml:space="preserve"> oferecem mais descontos para </w:t>
      </w:r>
      <w:r w:rsidR="00261A8A" w:rsidRPr="002F4565">
        <w:rPr>
          <w:lang w:val="pt-BR"/>
        </w:rPr>
        <w:t>alimentos pouco saudáveis</w:t>
      </w:r>
      <w:r w:rsidRPr="002F4565">
        <w:rPr>
          <w:lang w:val="pt-BR"/>
        </w:rPr>
        <w:t xml:space="preserve"> </w:t>
      </w:r>
      <w:r w:rsidR="00E415D7" w:rsidRPr="002F4565">
        <w:rPr>
          <w:lang w:val="pt-BR"/>
        </w:rPr>
        <w:t xml:space="preserve">em comparação com </w:t>
      </w:r>
      <w:r w:rsidR="00FB4401" w:rsidRPr="002F4565">
        <w:rPr>
          <w:lang w:val="pt-BR"/>
        </w:rPr>
        <w:t xml:space="preserve">alimentos </w:t>
      </w:r>
      <w:proofErr w:type="gramStart"/>
      <w:r w:rsidR="00FB4401" w:rsidRPr="002F4565">
        <w:rPr>
          <w:lang w:val="pt-BR"/>
        </w:rPr>
        <w:t>saudáveis</w:t>
      </w:r>
      <w:r w:rsidRPr="002F4565">
        <w:rPr>
          <w:lang w:val="pt-BR"/>
        </w:rPr>
        <w:t>.</w:t>
      </w:r>
      <w:proofErr w:type="gramEnd"/>
      <w:r w:rsidRPr="002F4565">
        <w:rPr>
          <w:vertAlign w:val="superscript"/>
          <w:lang w:val="pt-BR"/>
        </w:rPr>
        <w:t>32</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IV. </w:t>
      </w:r>
      <w:r w:rsidR="00E415D7" w:rsidRPr="002F4565">
        <w:rPr>
          <w:lang w:val="pt-BR"/>
        </w:rPr>
        <w:t xml:space="preserve">Obrigações do Estado de respeitar, proteger e proporcionar o direito à </w:t>
      </w:r>
      <w:proofErr w:type="gramStart"/>
      <w:r w:rsidR="00E415D7" w:rsidRPr="002F4565">
        <w:rPr>
          <w:lang w:val="pt-BR"/>
        </w:rPr>
        <w:t>saúde</w:t>
      </w:r>
      <w:proofErr w:type="gramEnd"/>
    </w:p>
    <w:p w:rsidR="00115B91" w:rsidRPr="002F4565" w:rsidRDefault="00115B91" w:rsidP="0051636A">
      <w:pPr>
        <w:spacing w:before="120" w:after="0" w:line="240" w:lineRule="auto"/>
        <w:rPr>
          <w:lang w:val="pt-BR"/>
        </w:rPr>
      </w:pPr>
      <w:r w:rsidRPr="002F4565">
        <w:rPr>
          <w:lang w:val="pt-BR"/>
        </w:rPr>
        <w:t xml:space="preserve">12. </w:t>
      </w:r>
      <w:r w:rsidR="00E415D7" w:rsidRPr="002F4565">
        <w:rPr>
          <w:lang w:val="pt-BR"/>
        </w:rPr>
        <w:t xml:space="preserve">No que se refere à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acessi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5A25F5" w:rsidRPr="002F4565">
        <w:rPr>
          <w:lang w:val="pt-BR"/>
        </w:rPr>
        <w:t>alimentos seguros</w:t>
      </w:r>
      <w:r w:rsidR="00E415D7" w:rsidRPr="002F4565">
        <w:rPr>
          <w:lang w:val="pt-BR"/>
        </w:rPr>
        <w:t xml:space="preserve"> e adequados em termos nutricionais</w:t>
      </w:r>
      <w:r w:rsidRPr="002F4565">
        <w:rPr>
          <w:lang w:val="pt-BR"/>
        </w:rPr>
        <w:t xml:space="preserve">, </w:t>
      </w:r>
      <w:r w:rsidR="00E415D7" w:rsidRPr="002F4565">
        <w:rPr>
          <w:lang w:val="pt-BR"/>
        </w:rPr>
        <w:t xml:space="preserve">tanto o </w:t>
      </w:r>
      <w:r w:rsidR="00F21F55" w:rsidRPr="002F4565">
        <w:rPr>
          <w:lang w:val="pt-BR"/>
        </w:rPr>
        <w:t>direito à saúde</w:t>
      </w:r>
      <w:r w:rsidRPr="002F4565">
        <w:rPr>
          <w:lang w:val="pt-BR"/>
        </w:rPr>
        <w:t xml:space="preserve"> </w:t>
      </w:r>
      <w:r w:rsidR="00E415D7" w:rsidRPr="002F4565">
        <w:rPr>
          <w:lang w:val="pt-BR"/>
        </w:rPr>
        <w:t xml:space="preserve">como </w:t>
      </w:r>
      <w:r w:rsidR="00261A8A" w:rsidRPr="002F4565">
        <w:rPr>
          <w:lang w:val="pt-BR"/>
        </w:rPr>
        <w:t>o</w:t>
      </w:r>
      <w:r w:rsidRPr="002F4565">
        <w:rPr>
          <w:lang w:val="pt-BR"/>
        </w:rPr>
        <w:t xml:space="preserve"> </w:t>
      </w:r>
      <w:r w:rsidR="0049090C" w:rsidRPr="002F4565">
        <w:rPr>
          <w:lang w:val="pt-BR"/>
        </w:rPr>
        <w:t>direito</w:t>
      </w:r>
      <w:r w:rsidRPr="002F4565">
        <w:rPr>
          <w:lang w:val="pt-BR"/>
        </w:rPr>
        <w:t xml:space="preserve"> </w:t>
      </w:r>
      <w:r w:rsidR="00E415D7" w:rsidRPr="002F4565">
        <w:rPr>
          <w:lang w:val="pt-BR"/>
        </w:rPr>
        <w:t xml:space="preserve">ao </w:t>
      </w:r>
      <w:r w:rsidR="0049090C" w:rsidRPr="002F4565">
        <w:rPr>
          <w:lang w:val="pt-BR"/>
        </w:rPr>
        <w:t>alimento</w:t>
      </w:r>
      <w:r w:rsidRPr="002F4565">
        <w:rPr>
          <w:lang w:val="pt-BR"/>
        </w:rPr>
        <w:t xml:space="preserve"> </w:t>
      </w:r>
      <w:r w:rsidR="00E415D7" w:rsidRPr="002F4565">
        <w:rPr>
          <w:lang w:val="pt-BR"/>
        </w:rPr>
        <w:t xml:space="preserve">estabelecem </w:t>
      </w:r>
      <w:r w:rsidR="00F21F55" w:rsidRPr="002F4565">
        <w:rPr>
          <w:lang w:val="pt-BR"/>
        </w:rPr>
        <w:t>obrigações</w:t>
      </w:r>
      <w:r w:rsidRPr="002F4565">
        <w:rPr>
          <w:lang w:val="pt-BR"/>
        </w:rPr>
        <w:t xml:space="preserve"> </w:t>
      </w:r>
      <w:r w:rsidR="00E415D7" w:rsidRPr="002F4565">
        <w:rPr>
          <w:lang w:val="pt-BR"/>
        </w:rPr>
        <w:t xml:space="preserve">para os </w:t>
      </w:r>
      <w:r w:rsidR="0049090C" w:rsidRPr="002F4565">
        <w:rPr>
          <w:lang w:val="pt-BR"/>
        </w:rPr>
        <w:t>Estados</w:t>
      </w:r>
      <w:r w:rsidRPr="002F4565">
        <w:rPr>
          <w:lang w:val="pt-BR"/>
        </w:rPr>
        <w:t xml:space="preserve">. </w:t>
      </w:r>
      <w:r w:rsidR="00E415D7" w:rsidRPr="002F4565">
        <w:rPr>
          <w:lang w:val="pt-BR"/>
        </w:rPr>
        <w:t xml:space="preserve">Segundo a estrutura do </w:t>
      </w:r>
      <w:r w:rsidR="00F21F55" w:rsidRPr="002F4565">
        <w:rPr>
          <w:lang w:val="pt-BR"/>
        </w:rPr>
        <w:t>direito à saúde</w:t>
      </w:r>
      <w:r w:rsidRPr="002F4565">
        <w:rPr>
          <w:lang w:val="pt-BR"/>
        </w:rPr>
        <w:t xml:space="preserve">, </w:t>
      </w:r>
      <w:r w:rsidR="00E415D7" w:rsidRPr="002F4565">
        <w:rPr>
          <w:lang w:val="pt-BR"/>
        </w:rPr>
        <w:t xml:space="preserve">os </w:t>
      </w:r>
      <w:r w:rsidR="0049090C" w:rsidRPr="002F4565">
        <w:rPr>
          <w:lang w:val="pt-BR"/>
        </w:rPr>
        <w:t>Estados</w:t>
      </w:r>
      <w:r w:rsidRPr="002F4565">
        <w:rPr>
          <w:lang w:val="pt-BR"/>
        </w:rPr>
        <w:t xml:space="preserve"> </w:t>
      </w:r>
      <w:r w:rsidR="00E415D7" w:rsidRPr="002F4565">
        <w:rPr>
          <w:lang w:val="pt-BR"/>
        </w:rPr>
        <w:t xml:space="preserve">têm a </w:t>
      </w:r>
      <w:r w:rsidR="006A31E1" w:rsidRPr="002F4565">
        <w:rPr>
          <w:lang w:val="pt-BR"/>
        </w:rPr>
        <w:t>obrigação</w:t>
      </w:r>
      <w:r w:rsidRPr="002F4565">
        <w:rPr>
          <w:lang w:val="pt-BR"/>
        </w:rPr>
        <w:t xml:space="preserve"> </w:t>
      </w:r>
      <w:r w:rsidR="00E415D7" w:rsidRPr="002F4565">
        <w:rPr>
          <w:lang w:val="pt-BR"/>
        </w:rPr>
        <w:t xml:space="preserve">fundamental e </w:t>
      </w:r>
      <w:r w:rsidR="0007577A" w:rsidRPr="002F4565">
        <w:rPr>
          <w:lang w:val="pt-BR"/>
        </w:rPr>
        <w:t>in</w:t>
      </w:r>
      <w:r w:rsidR="00E415D7" w:rsidRPr="002F4565">
        <w:rPr>
          <w:lang w:val="pt-BR"/>
        </w:rPr>
        <w:t xml:space="preserve">transferível de </w:t>
      </w:r>
      <w:r w:rsidR="006A31E1" w:rsidRPr="002F4565">
        <w:rPr>
          <w:lang w:val="pt-BR"/>
        </w:rPr>
        <w:t>garantir</w:t>
      </w:r>
      <w:r w:rsidRPr="002F4565">
        <w:rPr>
          <w:lang w:val="pt-BR"/>
        </w:rPr>
        <w:t xml:space="preserve"> </w:t>
      </w:r>
      <w:r w:rsidR="006A31E1" w:rsidRPr="002F4565">
        <w:rPr>
          <w:lang w:val="pt-BR"/>
        </w:rPr>
        <w:t>acesso</w:t>
      </w:r>
      <w:r w:rsidRPr="002F4565">
        <w:rPr>
          <w:lang w:val="pt-BR"/>
        </w:rPr>
        <w:t xml:space="preserve"> </w:t>
      </w:r>
      <w:r w:rsidR="00E415D7" w:rsidRPr="002F4565">
        <w:rPr>
          <w:lang w:val="pt-BR"/>
        </w:rPr>
        <w:t xml:space="preserve">a </w:t>
      </w:r>
      <w:r w:rsidR="0049090C" w:rsidRPr="002F4565">
        <w:rPr>
          <w:lang w:val="pt-BR"/>
        </w:rPr>
        <w:t>alimento</w:t>
      </w:r>
      <w:r w:rsidRPr="002F4565">
        <w:rPr>
          <w:lang w:val="pt-BR"/>
        </w:rPr>
        <w:t xml:space="preserve"> </w:t>
      </w:r>
      <w:r w:rsidR="00E415D7" w:rsidRPr="002F4565">
        <w:rPr>
          <w:lang w:val="pt-BR"/>
        </w:rPr>
        <w:t xml:space="preserve">mínimos e essenciais </w:t>
      </w:r>
      <w:r w:rsidR="006A31E1" w:rsidRPr="002F4565">
        <w:rPr>
          <w:lang w:val="pt-BR"/>
        </w:rPr>
        <w:t>que</w:t>
      </w:r>
      <w:r w:rsidRPr="002F4565">
        <w:rPr>
          <w:lang w:val="pt-BR"/>
        </w:rPr>
        <w:t xml:space="preserve"> </w:t>
      </w:r>
      <w:r w:rsidR="00E415D7" w:rsidRPr="002F4565">
        <w:rPr>
          <w:lang w:val="pt-BR"/>
        </w:rPr>
        <w:t xml:space="preserve">sejam </w:t>
      </w:r>
      <w:r w:rsidR="0049090C" w:rsidRPr="002F4565">
        <w:rPr>
          <w:lang w:val="pt-BR"/>
        </w:rPr>
        <w:t>adequados</w:t>
      </w:r>
      <w:r w:rsidRPr="002F4565">
        <w:rPr>
          <w:lang w:val="pt-BR"/>
        </w:rPr>
        <w:t xml:space="preserve"> </w:t>
      </w:r>
      <w:r w:rsidR="00E415D7" w:rsidRPr="002F4565">
        <w:rPr>
          <w:lang w:val="pt-BR"/>
        </w:rPr>
        <w:t xml:space="preserve">em termos nutricionais para </w:t>
      </w:r>
      <w:r w:rsidR="006A31E1" w:rsidRPr="002F4565">
        <w:rPr>
          <w:lang w:val="pt-BR"/>
        </w:rPr>
        <w:t>garantir</w:t>
      </w:r>
      <w:r w:rsidRPr="002F4565">
        <w:rPr>
          <w:lang w:val="pt-BR"/>
        </w:rPr>
        <w:t xml:space="preserve"> </w:t>
      </w:r>
      <w:r w:rsidR="00E415D7" w:rsidRPr="002F4565">
        <w:rPr>
          <w:lang w:val="pt-BR"/>
        </w:rPr>
        <w:t xml:space="preserve">a superação da </w:t>
      </w:r>
      <w:r w:rsidR="006A31E1" w:rsidRPr="002F4565">
        <w:rPr>
          <w:lang w:val="pt-BR"/>
        </w:rPr>
        <w:t>fome</w:t>
      </w:r>
      <w:r w:rsidRPr="002F4565">
        <w:rPr>
          <w:lang w:val="pt-BR"/>
        </w:rPr>
        <w:t xml:space="preserve"> </w:t>
      </w:r>
      <w:r w:rsidR="00E415D7" w:rsidRPr="002F4565">
        <w:rPr>
          <w:lang w:val="pt-BR"/>
        </w:rPr>
        <w:t>por todas as pessoas</w:t>
      </w:r>
      <w:r w:rsidRPr="002F4565">
        <w:rPr>
          <w:lang w:val="pt-BR"/>
        </w:rPr>
        <w:t xml:space="preserve">. </w:t>
      </w:r>
      <w:r w:rsidR="00E415D7" w:rsidRPr="002F4565">
        <w:rPr>
          <w:lang w:val="pt-BR"/>
        </w:rPr>
        <w:t>De maneira pertinente</w:t>
      </w:r>
      <w:r w:rsidRPr="002F4565">
        <w:rPr>
          <w:lang w:val="pt-BR"/>
        </w:rPr>
        <w:t xml:space="preserve">, </w:t>
      </w:r>
      <w:r w:rsidR="00261A8A" w:rsidRPr="002F4565">
        <w:rPr>
          <w:lang w:val="pt-BR"/>
        </w:rPr>
        <w:t>o</w:t>
      </w:r>
      <w:r w:rsidRPr="002F4565">
        <w:rPr>
          <w:lang w:val="pt-BR"/>
        </w:rPr>
        <w:t xml:space="preserve"> </w:t>
      </w:r>
      <w:r w:rsidR="0049090C" w:rsidRPr="002F4565">
        <w:rPr>
          <w:lang w:val="pt-BR"/>
        </w:rPr>
        <w:t>direito</w:t>
      </w:r>
      <w:r w:rsidRPr="002F4565">
        <w:rPr>
          <w:lang w:val="pt-BR"/>
        </w:rPr>
        <w:t xml:space="preserve"> </w:t>
      </w:r>
      <w:r w:rsidR="00E415D7" w:rsidRPr="002F4565">
        <w:rPr>
          <w:lang w:val="pt-BR"/>
        </w:rPr>
        <w:t xml:space="preserve">à </w:t>
      </w:r>
      <w:r w:rsidR="0007577A" w:rsidRPr="002F4565">
        <w:rPr>
          <w:lang w:val="pt-BR"/>
        </w:rPr>
        <w:t>estrutura alimentar</w:t>
      </w:r>
      <w:r w:rsidR="00E415D7" w:rsidRPr="002F4565">
        <w:rPr>
          <w:lang w:val="pt-BR"/>
        </w:rPr>
        <w:t xml:space="preserve"> exige que </w:t>
      </w:r>
      <w:r w:rsidR="0007577A" w:rsidRPr="002F4565">
        <w:rPr>
          <w:lang w:val="pt-BR"/>
        </w:rPr>
        <w:t xml:space="preserve">os </w:t>
      </w:r>
      <w:r w:rsidR="0049090C" w:rsidRPr="002F4565">
        <w:rPr>
          <w:lang w:val="pt-BR"/>
        </w:rPr>
        <w:t>Estados</w:t>
      </w:r>
      <w:r w:rsidRPr="002F4565">
        <w:rPr>
          <w:lang w:val="pt-BR"/>
        </w:rPr>
        <w:t xml:space="preserve"> </w:t>
      </w:r>
      <w:r w:rsidR="006A31E1" w:rsidRPr="002F4565">
        <w:rPr>
          <w:lang w:val="pt-BR"/>
        </w:rPr>
        <w:t>garant</w:t>
      </w:r>
      <w:r w:rsidR="00E415D7" w:rsidRPr="002F4565">
        <w:rPr>
          <w:lang w:val="pt-BR"/>
        </w:rPr>
        <w:t>am</w:t>
      </w:r>
      <w:r w:rsidRPr="002F4565">
        <w:rPr>
          <w:lang w:val="pt-BR"/>
        </w:rPr>
        <w:t xml:space="preserve"> </w:t>
      </w:r>
      <w:r w:rsidR="00E415D7" w:rsidRPr="002F4565">
        <w:rPr>
          <w:lang w:val="pt-BR"/>
        </w:rPr>
        <w:t>a</w:t>
      </w:r>
      <w:r w:rsidRPr="002F4565">
        <w:rPr>
          <w:lang w:val="pt-BR"/>
        </w:rPr>
        <w:t xml:space="preserve">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acessi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alimento</w:t>
      </w:r>
      <w:r w:rsidR="00E415D7" w:rsidRPr="002F4565">
        <w:rPr>
          <w:lang w:val="pt-BR"/>
        </w:rPr>
        <w:t>s</w:t>
      </w:r>
      <w:r w:rsidRPr="002F4565">
        <w:rPr>
          <w:lang w:val="pt-BR"/>
        </w:rPr>
        <w:t xml:space="preserve"> </w:t>
      </w:r>
      <w:r w:rsidR="00FB4DE4" w:rsidRPr="002F4565">
        <w:rPr>
          <w:lang w:val="pt-BR"/>
        </w:rPr>
        <w:t>em</w:t>
      </w:r>
      <w:r w:rsidRPr="002F4565">
        <w:rPr>
          <w:lang w:val="pt-BR"/>
        </w:rPr>
        <w:t xml:space="preserve"> quanti</w:t>
      </w:r>
      <w:r w:rsidR="00E415D7" w:rsidRPr="002F4565">
        <w:rPr>
          <w:lang w:val="pt-BR"/>
        </w:rPr>
        <w:t>dade</w:t>
      </w:r>
      <w:r w:rsidRPr="002F4565">
        <w:rPr>
          <w:lang w:val="pt-BR"/>
        </w:rPr>
        <w:t xml:space="preserve"> </w:t>
      </w:r>
      <w:r w:rsidR="0049090C" w:rsidRPr="002F4565">
        <w:rPr>
          <w:lang w:val="pt-BR"/>
        </w:rPr>
        <w:t>e</w:t>
      </w:r>
      <w:r w:rsidRPr="002F4565">
        <w:rPr>
          <w:lang w:val="pt-BR"/>
        </w:rPr>
        <w:t xml:space="preserve"> qu</w:t>
      </w:r>
      <w:r w:rsidR="0040430A" w:rsidRPr="002F4565">
        <w:rPr>
          <w:lang w:val="pt-BR"/>
        </w:rPr>
        <w:t>alidade</w:t>
      </w:r>
      <w:r w:rsidRPr="002F4565">
        <w:rPr>
          <w:lang w:val="pt-BR"/>
        </w:rPr>
        <w:t xml:space="preserve"> </w:t>
      </w:r>
      <w:r w:rsidR="00E415D7" w:rsidRPr="002F4565">
        <w:rPr>
          <w:lang w:val="pt-BR"/>
        </w:rPr>
        <w:t xml:space="preserve">para satisfazer as necessidades alimentares dos </w:t>
      </w:r>
      <w:r w:rsidR="0049090C" w:rsidRPr="002F4565">
        <w:rPr>
          <w:lang w:val="pt-BR"/>
        </w:rPr>
        <w:t>indivíduos</w:t>
      </w:r>
      <w:r w:rsidRPr="002F4565">
        <w:rPr>
          <w:lang w:val="pt-BR"/>
        </w:rPr>
        <w:t xml:space="preserve"> </w:t>
      </w:r>
      <w:r w:rsidR="0049090C" w:rsidRPr="002F4565">
        <w:rPr>
          <w:lang w:val="pt-BR"/>
        </w:rPr>
        <w:t>e</w:t>
      </w:r>
      <w:r w:rsidRPr="002F4565">
        <w:rPr>
          <w:lang w:val="pt-BR"/>
        </w:rPr>
        <w:t xml:space="preserve"> </w:t>
      </w:r>
      <w:r w:rsidR="00E415D7" w:rsidRPr="002F4565">
        <w:rPr>
          <w:lang w:val="pt-BR"/>
        </w:rPr>
        <w:t>que contenha</w:t>
      </w:r>
      <w:r w:rsidR="0007577A" w:rsidRPr="002F4565">
        <w:rPr>
          <w:lang w:val="pt-BR"/>
        </w:rPr>
        <w:t>m</w:t>
      </w:r>
      <w:r w:rsidR="00E415D7" w:rsidRPr="002F4565">
        <w:rPr>
          <w:lang w:val="pt-BR"/>
        </w:rPr>
        <w:t xml:space="preserve"> uma </w:t>
      </w:r>
      <w:r w:rsidR="0007577A" w:rsidRPr="002F4565">
        <w:rPr>
          <w:lang w:val="pt-BR"/>
        </w:rPr>
        <w:t xml:space="preserve">combinação </w:t>
      </w:r>
      <w:r w:rsidR="00E415D7" w:rsidRPr="002F4565">
        <w:rPr>
          <w:lang w:val="pt-BR"/>
        </w:rPr>
        <w:t xml:space="preserve">de </w:t>
      </w:r>
      <w:r w:rsidRPr="002F4565">
        <w:rPr>
          <w:lang w:val="pt-BR"/>
        </w:rPr>
        <w:t>nutrient</w:t>
      </w:r>
      <w:r w:rsidR="00E415D7" w:rsidRPr="002F4565">
        <w:rPr>
          <w:lang w:val="pt-BR"/>
        </w:rPr>
        <w:t>e</w:t>
      </w:r>
      <w:r w:rsidRPr="002F4565">
        <w:rPr>
          <w:lang w:val="pt-BR"/>
        </w:rPr>
        <w:t xml:space="preserve">s </w:t>
      </w:r>
      <w:r w:rsidR="00E415D7" w:rsidRPr="002F4565">
        <w:rPr>
          <w:lang w:val="pt-BR"/>
        </w:rPr>
        <w:t>para o crescimento</w:t>
      </w:r>
      <w:r w:rsidRPr="002F4565">
        <w:rPr>
          <w:lang w:val="pt-BR"/>
        </w:rPr>
        <w:t xml:space="preserve">, </w:t>
      </w:r>
      <w:r w:rsidR="00E415D7" w:rsidRPr="002F4565">
        <w:rPr>
          <w:lang w:val="pt-BR"/>
        </w:rPr>
        <w:t>desenvolvimento</w:t>
      </w:r>
      <w:r w:rsidRPr="002F4565">
        <w:rPr>
          <w:lang w:val="pt-BR"/>
        </w:rPr>
        <w:t xml:space="preserve"> </w:t>
      </w:r>
      <w:r w:rsidR="0049090C" w:rsidRPr="002F4565">
        <w:rPr>
          <w:lang w:val="pt-BR"/>
        </w:rPr>
        <w:t>e</w:t>
      </w:r>
      <w:r w:rsidRPr="002F4565">
        <w:rPr>
          <w:lang w:val="pt-BR"/>
        </w:rPr>
        <w:t xml:space="preserve"> </w:t>
      </w:r>
      <w:r w:rsidR="00E415D7" w:rsidRPr="002F4565">
        <w:rPr>
          <w:lang w:val="pt-BR"/>
        </w:rPr>
        <w:t>manutenção</w:t>
      </w:r>
      <w:r w:rsidR="0007577A" w:rsidRPr="002F4565">
        <w:rPr>
          <w:lang w:val="pt-BR"/>
        </w:rPr>
        <w:t>,</w:t>
      </w:r>
      <w:r w:rsidR="00E415D7" w:rsidRPr="002F4565">
        <w:rPr>
          <w:lang w:val="pt-BR"/>
        </w:rPr>
        <w:t xml:space="preserve"> em termos físicos e mentais</w:t>
      </w:r>
      <w:r w:rsidRPr="002F4565">
        <w:rPr>
          <w:lang w:val="pt-BR"/>
        </w:rPr>
        <w:t xml:space="preserve">, </w:t>
      </w:r>
      <w:r w:rsidR="00E415D7" w:rsidRPr="002F4565">
        <w:rPr>
          <w:lang w:val="pt-BR"/>
        </w:rPr>
        <w:t>além d</w:t>
      </w:r>
      <w:r w:rsidR="0049090C" w:rsidRPr="002F4565">
        <w:rPr>
          <w:lang w:val="pt-BR"/>
        </w:rPr>
        <w:t>e</w:t>
      </w:r>
      <w:r w:rsidRPr="002F4565">
        <w:rPr>
          <w:lang w:val="pt-BR"/>
        </w:rPr>
        <w:t xml:space="preserve"> </w:t>
      </w:r>
      <w:r w:rsidR="00FB4DE4" w:rsidRPr="002F4565">
        <w:rPr>
          <w:lang w:val="pt-BR"/>
        </w:rPr>
        <w:t>atividade física</w:t>
      </w:r>
      <w:r w:rsidRPr="002F4565">
        <w:rPr>
          <w:lang w:val="pt-BR"/>
        </w:rPr>
        <w:t xml:space="preserve"> </w:t>
      </w:r>
      <w:r w:rsidR="006A31E1" w:rsidRPr="002F4565">
        <w:rPr>
          <w:lang w:val="pt-BR"/>
        </w:rPr>
        <w:t>que</w:t>
      </w:r>
      <w:r w:rsidRPr="002F4565">
        <w:rPr>
          <w:lang w:val="pt-BR"/>
        </w:rPr>
        <w:t xml:space="preserve"> </w:t>
      </w:r>
      <w:r w:rsidR="00E415D7" w:rsidRPr="002F4565">
        <w:rPr>
          <w:lang w:val="pt-BR"/>
        </w:rPr>
        <w:t xml:space="preserve">esteja em consonância </w:t>
      </w:r>
      <w:r w:rsidR="00F21F55" w:rsidRPr="002F4565">
        <w:rPr>
          <w:lang w:val="pt-BR"/>
        </w:rPr>
        <w:t>com</w:t>
      </w:r>
      <w:r w:rsidRPr="002F4565">
        <w:rPr>
          <w:lang w:val="pt-BR"/>
        </w:rPr>
        <w:t xml:space="preserve"> </w:t>
      </w:r>
      <w:r w:rsidR="00E415D7" w:rsidRPr="002F4565">
        <w:rPr>
          <w:lang w:val="pt-BR"/>
        </w:rPr>
        <w:t>as necessidades psicológicas humanas em todas as fases da vida</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13. </w:t>
      </w:r>
      <w:r w:rsidR="00E415D7" w:rsidRPr="002F4565">
        <w:rPr>
          <w:lang w:val="pt-BR"/>
        </w:rPr>
        <w:t xml:space="preserve">A Aliança </w:t>
      </w:r>
      <w:r w:rsidR="005A25F5" w:rsidRPr="002F4565">
        <w:rPr>
          <w:lang w:val="pt-BR"/>
        </w:rPr>
        <w:t>Internacional</w:t>
      </w:r>
      <w:r w:rsidRPr="002F4565">
        <w:rPr>
          <w:lang w:val="pt-BR"/>
        </w:rPr>
        <w:t xml:space="preserve"> </w:t>
      </w:r>
      <w:r w:rsidR="00E415D7" w:rsidRPr="002F4565">
        <w:rPr>
          <w:lang w:val="pt-BR"/>
        </w:rPr>
        <w:t xml:space="preserve">sobre Direitos </w:t>
      </w:r>
      <w:r w:rsidR="005A25F5" w:rsidRPr="002F4565">
        <w:rPr>
          <w:lang w:val="pt-BR"/>
        </w:rPr>
        <w:t>Econômicos</w:t>
      </w:r>
      <w:r w:rsidRPr="002F4565">
        <w:rPr>
          <w:lang w:val="pt-BR"/>
        </w:rPr>
        <w:t>, Socia</w:t>
      </w:r>
      <w:r w:rsidR="00E415D7" w:rsidRPr="002F4565">
        <w:rPr>
          <w:lang w:val="pt-BR"/>
        </w:rPr>
        <w:t>is</w:t>
      </w:r>
      <w:r w:rsidRPr="002F4565">
        <w:rPr>
          <w:lang w:val="pt-BR"/>
        </w:rPr>
        <w:t xml:space="preserve"> </w:t>
      </w:r>
      <w:r w:rsidR="0049090C" w:rsidRPr="002F4565">
        <w:rPr>
          <w:lang w:val="pt-BR"/>
        </w:rPr>
        <w:t>e</w:t>
      </w:r>
      <w:r w:rsidRPr="002F4565">
        <w:rPr>
          <w:lang w:val="pt-BR"/>
        </w:rPr>
        <w:t xml:space="preserve"> Cultura</w:t>
      </w:r>
      <w:r w:rsidR="00E415D7" w:rsidRPr="002F4565">
        <w:rPr>
          <w:lang w:val="pt-BR"/>
        </w:rPr>
        <w:t xml:space="preserve">is estabelece a </w:t>
      </w:r>
      <w:r w:rsidR="0007577A" w:rsidRPr="002F4565">
        <w:rPr>
          <w:lang w:val="pt-BR"/>
        </w:rPr>
        <w:t xml:space="preserve">concretização </w:t>
      </w:r>
      <w:r w:rsidR="00E415D7" w:rsidRPr="002F4565">
        <w:rPr>
          <w:lang w:val="pt-BR"/>
        </w:rPr>
        <w:t xml:space="preserve">progressiva do </w:t>
      </w:r>
      <w:r w:rsidR="00F21F55" w:rsidRPr="002F4565">
        <w:rPr>
          <w:lang w:val="pt-BR"/>
        </w:rPr>
        <w:t>direito à saúde</w:t>
      </w:r>
      <w:r w:rsidRPr="002F4565">
        <w:rPr>
          <w:lang w:val="pt-BR"/>
        </w:rPr>
        <w:t xml:space="preserve">, </w:t>
      </w:r>
      <w:r w:rsidR="00E415D7" w:rsidRPr="002F4565">
        <w:rPr>
          <w:lang w:val="pt-BR"/>
        </w:rPr>
        <w:t xml:space="preserve">o que significa </w:t>
      </w:r>
      <w:r w:rsidR="006A31E1" w:rsidRPr="002F4565">
        <w:rPr>
          <w:lang w:val="pt-BR"/>
        </w:rPr>
        <w:t>que</w:t>
      </w:r>
      <w:r w:rsidRPr="002F4565">
        <w:rPr>
          <w:lang w:val="pt-BR"/>
        </w:rPr>
        <w:t xml:space="preserve"> </w:t>
      </w:r>
      <w:r w:rsidR="00E415D7" w:rsidRPr="002F4565">
        <w:rPr>
          <w:lang w:val="pt-BR"/>
        </w:rPr>
        <w:t xml:space="preserve">os </w:t>
      </w:r>
      <w:r w:rsidR="0049090C" w:rsidRPr="002F4565">
        <w:rPr>
          <w:lang w:val="pt-BR"/>
        </w:rPr>
        <w:t>Estados</w:t>
      </w:r>
      <w:r w:rsidRPr="002F4565">
        <w:rPr>
          <w:lang w:val="pt-BR"/>
        </w:rPr>
        <w:t xml:space="preserve"> </w:t>
      </w:r>
      <w:r w:rsidR="0085423E" w:rsidRPr="002F4565">
        <w:rPr>
          <w:lang w:val="pt-BR"/>
        </w:rPr>
        <w:t xml:space="preserve">têm a </w:t>
      </w:r>
      <w:r w:rsidR="006A31E1" w:rsidRPr="002F4565">
        <w:rPr>
          <w:lang w:val="pt-BR"/>
        </w:rPr>
        <w:t>obrigação</w:t>
      </w:r>
      <w:r w:rsidRPr="002F4565">
        <w:rPr>
          <w:lang w:val="pt-BR"/>
        </w:rPr>
        <w:t xml:space="preserve"> </w:t>
      </w:r>
      <w:r w:rsidR="0085423E" w:rsidRPr="002F4565">
        <w:rPr>
          <w:lang w:val="pt-BR"/>
        </w:rPr>
        <w:t>específica e contínua de avançar</w:t>
      </w:r>
      <w:r w:rsidR="0007577A" w:rsidRPr="002F4565">
        <w:rPr>
          <w:lang w:val="pt-BR"/>
        </w:rPr>
        <w:t>,</w:t>
      </w:r>
      <w:r w:rsidR="0085423E" w:rsidRPr="002F4565">
        <w:rPr>
          <w:lang w:val="pt-BR"/>
        </w:rPr>
        <w:t xml:space="preserve"> da maneira mais ágil e eficaz possível</w:t>
      </w:r>
      <w:r w:rsidR="0007577A" w:rsidRPr="002F4565">
        <w:rPr>
          <w:lang w:val="pt-BR"/>
        </w:rPr>
        <w:t>,</w:t>
      </w:r>
      <w:r w:rsidR="0085423E" w:rsidRPr="002F4565">
        <w:rPr>
          <w:lang w:val="pt-BR"/>
        </w:rPr>
        <w:t xml:space="preserve"> em direção à </w:t>
      </w:r>
      <w:r w:rsidR="0007577A" w:rsidRPr="002F4565">
        <w:rPr>
          <w:lang w:val="pt-BR"/>
        </w:rPr>
        <w:t xml:space="preserve">concretização </w:t>
      </w:r>
      <w:r w:rsidR="0085423E" w:rsidRPr="002F4565">
        <w:rPr>
          <w:lang w:val="pt-BR"/>
        </w:rPr>
        <w:t>pl</w:t>
      </w:r>
      <w:r w:rsidR="0007577A" w:rsidRPr="002F4565">
        <w:rPr>
          <w:lang w:val="pt-BR"/>
        </w:rPr>
        <w:t>e</w:t>
      </w:r>
      <w:r w:rsidR="0085423E" w:rsidRPr="002F4565">
        <w:rPr>
          <w:lang w:val="pt-BR"/>
        </w:rPr>
        <w:t xml:space="preserve">na dos mais elevados padrões de </w:t>
      </w:r>
      <w:r w:rsidR="0049090C" w:rsidRPr="002F4565">
        <w:rPr>
          <w:lang w:val="pt-BR"/>
        </w:rPr>
        <w:t>saúde</w:t>
      </w:r>
      <w:r w:rsidRPr="002F4565">
        <w:rPr>
          <w:lang w:val="pt-BR"/>
        </w:rPr>
        <w:t xml:space="preserve">. </w:t>
      </w:r>
      <w:r w:rsidR="0085423E" w:rsidRPr="002F4565">
        <w:rPr>
          <w:lang w:val="pt-BR"/>
        </w:rPr>
        <w:t xml:space="preserve">Os </w:t>
      </w:r>
      <w:r w:rsidR="0049090C" w:rsidRPr="002F4565">
        <w:rPr>
          <w:lang w:val="pt-BR"/>
        </w:rPr>
        <w:t>Estados</w:t>
      </w:r>
      <w:r w:rsidRPr="002F4565">
        <w:rPr>
          <w:lang w:val="pt-BR"/>
        </w:rPr>
        <w:t xml:space="preserve"> </w:t>
      </w:r>
      <w:r w:rsidR="0085423E" w:rsidRPr="002F4565">
        <w:rPr>
          <w:lang w:val="pt-BR"/>
        </w:rPr>
        <w:t xml:space="preserve">devem, </w:t>
      </w:r>
      <w:r w:rsidR="00FB4401" w:rsidRPr="002F4565">
        <w:rPr>
          <w:lang w:val="pt-BR"/>
        </w:rPr>
        <w:t>portanto</w:t>
      </w:r>
      <w:r w:rsidR="0085423E" w:rsidRPr="002F4565">
        <w:rPr>
          <w:lang w:val="pt-BR"/>
        </w:rPr>
        <w:t>,</w:t>
      </w:r>
      <w:r w:rsidRPr="002F4565">
        <w:rPr>
          <w:lang w:val="pt-BR"/>
        </w:rPr>
        <w:t xml:space="preserve"> formula</w:t>
      </w:r>
      <w:r w:rsidR="0085423E" w:rsidRPr="002F4565">
        <w:rPr>
          <w:lang w:val="pt-BR"/>
        </w:rPr>
        <w:t>r</w:t>
      </w:r>
      <w:r w:rsidRPr="002F4565">
        <w:rPr>
          <w:lang w:val="pt-BR"/>
        </w:rPr>
        <w:t xml:space="preserve"> </w:t>
      </w:r>
      <w:r w:rsidR="0085423E" w:rsidRPr="002F4565">
        <w:rPr>
          <w:lang w:val="pt-BR"/>
        </w:rPr>
        <w:t>um plano com prazos determinados ao dar passos imediatos e contínuos</w:t>
      </w:r>
      <w:r w:rsidR="0007577A" w:rsidRPr="002F4565">
        <w:rPr>
          <w:lang w:val="pt-BR"/>
        </w:rPr>
        <w:t>,</w:t>
      </w:r>
      <w:r w:rsidR="0085423E" w:rsidRPr="002F4565">
        <w:rPr>
          <w:lang w:val="pt-BR"/>
        </w:rPr>
        <w:t xml:space="preserve"> de acordo com o máximo de recursos </w:t>
      </w:r>
      <w:r w:rsidR="00B5729E" w:rsidRPr="002F4565">
        <w:rPr>
          <w:lang w:val="pt-BR"/>
        </w:rPr>
        <w:t>disponíveis</w:t>
      </w:r>
      <w:r w:rsidRPr="002F4565">
        <w:rPr>
          <w:lang w:val="pt-BR"/>
        </w:rPr>
        <w:t xml:space="preserve">. </w:t>
      </w:r>
      <w:r w:rsidR="006A31E1" w:rsidRPr="002F4565">
        <w:rPr>
          <w:lang w:val="pt-BR"/>
        </w:rPr>
        <w:t>Esta</w:t>
      </w:r>
      <w:r w:rsidRPr="002F4565">
        <w:rPr>
          <w:lang w:val="pt-BR"/>
        </w:rPr>
        <w:t xml:space="preserve"> </w:t>
      </w:r>
      <w:r w:rsidR="006A31E1" w:rsidRPr="002F4565">
        <w:rPr>
          <w:lang w:val="pt-BR"/>
        </w:rPr>
        <w:t>obrigação</w:t>
      </w:r>
      <w:r w:rsidRPr="002F4565">
        <w:rPr>
          <w:lang w:val="pt-BR"/>
        </w:rPr>
        <w:t xml:space="preserve"> </w:t>
      </w:r>
      <w:r w:rsidR="0085423E" w:rsidRPr="002F4565">
        <w:rPr>
          <w:lang w:val="pt-BR"/>
        </w:rPr>
        <w:t>pode ser cumprida</w:t>
      </w:r>
      <w:r w:rsidRPr="002F4565">
        <w:rPr>
          <w:lang w:val="pt-BR"/>
        </w:rPr>
        <w:t xml:space="preserve">, </w:t>
      </w:r>
      <w:r w:rsidR="0085423E" w:rsidRPr="002F4565">
        <w:rPr>
          <w:lang w:val="pt-BR"/>
        </w:rPr>
        <w:t>entre outros fatores</w:t>
      </w:r>
      <w:r w:rsidRPr="002F4565">
        <w:rPr>
          <w:lang w:val="pt-BR"/>
        </w:rPr>
        <w:t xml:space="preserve">, </w:t>
      </w:r>
      <w:r w:rsidR="0085423E" w:rsidRPr="002F4565">
        <w:rPr>
          <w:lang w:val="pt-BR"/>
        </w:rPr>
        <w:t xml:space="preserve">pela formulação de </w:t>
      </w:r>
      <w:r w:rsidR="0007577A" w:rsidRPr="002F4565">
        <w:rPr>
          <w:lang w:val="pt-BR"/>
        </w:rPr>
        <w:t>políticas</w:t>
      </w:r>
      <w:r w:rsidR="0085423E" w:rsidRPr="002F4565">
        <w:rPr>
          <w:lang w:val="pt-BR"/>
        </w:rPr>
        <w:t xml:space="preserve"> relacionadas com a </w:t>
      </w:r>
      <w:r w:rsidR="0049090C" w:rsidRPr="002F4565">
        <w:rPr>
          <w:lang w:val="pt-BR"/>
        </w:rPr>
        <w:t>saúde</w:t>
      </w:r>
      <w:r w:rsidRPr="002F4565">
        <w:rPr>
          <w:lang w:val="pt-BR"/>
        </w:rPr>
        <w:t xml:space="preserve">, </w:t>
      </w:r>
      <w:r w:rsidR="00F21F55" w:rsidRPr="002F4565">
        <w:rPr>
          <w:lang w:val="pt-BR"/>
        </w:rPr>
        <w:t>assim como</w:t>
      </w:r>
      <w:r w:rsidRPr="002F4565">
        <w:rPr>
          <w:lang w:val="pt-BR"/>
        </w:rPr>
        <w:t xml:space="preserve"> </w:t>
      </w:r>
      <w:r w:rsidR="0085423E" w:rsidRPr="002F4565">
        <w:rPr>
          <w:lang w:val="pt-BR"/>
        </w:rPr>
        <w:t xml:space="preserve">com setores como o </w:t>
      </w:r>
      <w:r w:rsidR="00251FF5" w:rsidRPr="002F4565">
        <w:rPr>
          <w:lang w:val="pt-BR"/>
        </w:rPr>
        <w:t>comércio</w:t>
      </w:r>
      <w:r w:rsidR="0085423E" w:rsidRPr="002F4565">
        <w:rPr>
          <w:lang w:val="pt-BR"/>
        </w:rPr>
        <w:t xml:space="preserve"> e </w:t>
      </w:r>
      <w:r w:rsidRPr="002F4565">
        <w:rPr>
          <w:lang w:val="pt-BR"/>
        </w:rPr>
        <w:t>agricultur</w:t>
      </w:r>
      <w:r w:rsidR="0085423E" w:rsidRPr="002F4565">
        <w:rPr>
          <w:lang w:val="pt-BR"/>
        </w:rPr>
        <w:t>a</w:t>
      </w:r>
      <w:r w:rsidRPr="002F4565">
        <w:rPr>
          <w:lang w:val="pt-BR"/>
        </w:rPr>
        <w:t xml:space="preserve">. </w:t>
      </w:r>
      <w:r w:rsidR="0085423E" w:rsidRPr="002F4565">
        <w:rPr>
          <w:lang w:val="pt-BR"/>
        </w:rPr>
        <w:t xml:space="preserve">Em </w:t>
      </w:r>
      <w:r w:rsidRPr="002F4565">
        <w:rPr>
          <w:lang w:val="pt-BR"/>
        </w:rPr>
        <w:t xml:space="preserve">particular, </w:t>
      </w:r>
      <w:r w:rsidR="0085423E" w:rsidRPr="002F4565">
        <w:rPr>
          <w:lang w:val="pt-BR"/>
        </w:rPr>
        <w:t>a estrutura d</w:t>
      </w:r>
      <w:r w:rsidR="0007577A" w:rsidRPr="002F4565">
        <w:rPr>
          <w:lang w:val="pt-BR"/>
        </w:rPr>
        <w:t>o</w:t>
      </w:r>
      <w:r w:rsidR="0085423E" w:rsidRPr="002F4565">
        <w:rPr>
          <w:lang w:val="pt-BR"/>
        </w:rPr>
        <w:t xml:space="preserve"> </w:t>
      </w:r>
      <w:r w:rsidR="00F21F55" w:rsidRPr="002F4565">
        <w:rPr>
          <w:lang w:val="pt-BR"/>
        </w:rPr>
        <w:t>direito à saúde</w:t>
      </w:r>
      <w:r w:rsidRPr="002F4565">
        <w:rPr>
          <w:lang w:val="pt-BR"/>
        </w:rPr>
        <w:t xml:space="preserve"> </w:t>
      </w:r>
      <w:r w:rsidR="0085423E" w:rsidRPr="002F4565">
        <w:rPr>
          <w:lang w:val="pt-BR"/>
        </w:rPr>
        <w:t xml:space="preserve">exige que os </w:t>
      </w:r>
      <w:r w:rsidR="0049090C" w:rsidRPr="002F4565">
        <w:rPr>
          <w:lang w:val="pt-BR"/>
        </w:rPr>
        <w:t>Estados</w:t>
      </w:r>
      <w:r w:rsidRPr="002F4565">
        <w:rPr>
          <w:lang w:val="pt-BR"/>
        </w:rPr>
        <w:t xml:space="preserve"> </w:t>
      </w:r>
      <w:r w:rsidR="0085423E" w:rsidRPr="002F4565">
        <w:rPr>
          <w:lang w:val="pt-BR"/>
        </w:rPr>
        <w:t xml:space="preserve">tomem medidas para </w:t>
      </w:r>
      <w:r w:rsidR="0007577A" w:rsidRPr="002F4565">
        <w:rPr>
          <w:lang w:val="pt-BR"/>
        </w:rPr>
        <w:t xml:space="preserve">a prevenção de </w:t>
      </w:r>
      <w:r w:rsidR="0049090C" w:rsidRPr="002F4565">
        <w:rPr>
          <w:lang w:val="pt-BR"/>
        </w:rPr>
        <w:t>DNTs relacionadas com a dieta</w:t>
      </w:r>
      <w:r w:rsidRPr="002F4565">
        <w:rPr>
          <w:lang w:val="pt-BR"/>
        </w:rPr>
        <w:t xml:space="preserve"> </w:t>
      </w:r>
      <w:r w:rsidR="0049090C" w:rsidRPr="002F4565">
        <w:rPr>
          <w:lang w:val="pt-BR"/>
        </w:rPr>
        <w:t>e</w:t>
      </w:r>
      <w:r w:rsidRPr="002F4565">
        <w:rPr>
          <w:lang w:val="pt-BR"/>
        </w:rPr>
        <w:t xml:space="preserve"> </w:t>
      </w:r>
      <w:r w:rsidR="0085423E" w:rsidRPr="002F4565">
        <w:rPr>
          <w:lang w:val="pt-BR"/>
        </w:rPr>
        <w:t xml:space="preserve">forneçam </w:t>
      </w:r>
      <w:r w:rsidR="006A31E1" w:rsidRPr="002F4565">
        <w:rPr>
          <w:lang w:val="pt-BR"/>
        </w:rPr>
        <w:t>acesso</w:t>
      </w:r>
      <w:r w:rsidRPr="002F4565">
        <w:rPr>
          <w:lang w:val="pt-BR"/>
        </w:rPr>
        <w:t xml:space="preserve"> </w:t>
      </w:r>
      <w:r w:rsidR="0085423E" w:rsidRPr="002F4565">
        <w:rPr>
          <w:lang w:val="pt-BR"/>
        </w:rPr>
        <w:t xml:space="preserve">igualitário e oportuno ao atendimento primário de </w:t>
      </w:r>
      <w:r w:rsidR="0049090C" w:rsidRPr="002F4565">
        <w:rPr>
          <w:lang w:val="pt-BR"/>
        </w:rPr>
        <w:t>saúde</w:t>
      </w:r>
      <w:r w:rsidRPr="002F4565">
        <w:rPr>
          <w:lang w:val="pt-BR"/>
        </w:rPr>
        <w:t xml:space="preserve">. </w:t>
      </w:r>
      <w:r w:rsidR="0085423E" w:rsidRPr="002F4565">
        <w:rPr>
          <w:lang w:val="pt-BR"/>
        </w:rPr>
        <w:t xml:space="preserve">Portanto, para </w:t>
      </w:r>
      <w:r w:rsidR="006A31E1" w:rsidRPr="002F4565">
        <w:rPr>
          <w:lang w:val="pt-BR"/>
        </w:rPr>
        <w:t>garantir</w:t>
      </w:r>
      <w:r w:rsidRPr="002F4565">
        <w:rPr>
          <w:lang w:val="pt-BR"/>
        </w:rPr>
        <w:t xml:space="preserve"> </w:t>
      </w:r>
      <w:r w:rsidR="00261A8A" w:rsidRPr="002F4565">
        <w:rPr>
          <w:lang w:val="pt-BR"/>
        </w:rPr>
        <w:t>o</w:t>
      </w:r>
      <w:r w:rsidR="0085423E" w:rsidRPr="002F4565">
        <w:rPr>
          <w:lang w:val="pt-BR"/>
        </w:rPr>
        <w:t xml:space="preserve">s três tipos de </w:t>
      </w:r>
      <w:r w:rsidR="00F21F55" w:rsidRPr="002F4565">
        <w:rPr>
          <w:lang w:val="pt-BR"/>
        </w:rPr>
        <w:t>obrigaç</w:t>
      </w:r>
      <w:r w:rsidR="0085423E" w:rsidRPr="002F4565">
        <w:rPr>
          <w:lang w:val="pt-BR"/>
        </w:rPr>
        <w:t xml:space="preserve">ão segundo o </w:t>
      </w:r>
      <w:r w:rsidR="00F21F55" w:rsidRPr="002F4565">
        <w:rPr>
          <w:lang w:val="pt-BR"/>
        </w:rPr>
        <w:t>direito à saúde</w:t>
      </w:r>
      <w:r w:rsidRPr="002F4565">
        <w:rPr>
          <w:lang w:val="pt-BR"/>
        </w:rPr>
        <w:t xml:space="preserve">, </w:t>
      </w:r>
      <w:r w:rsidR="0085423E" w:rsidRPr="002F4565">
        <w:rPr>
          <w:lang w:val="pt-BR"/>
        </w:rPr>
        <w:t xml:space="preserve">ou seja, </w:t>
      </w:r>
      <w:r w:rsidR="00F21F55" w:rsidRPr="002F4565">
        <w:rPr>
          <w:lang w:val="pt-BR"/>
        </w:rPr>
        <w:t>respeit</w:t>
      </w:r>
      <w:r w:rsidR="0085423E" w:rsidRPr="002F4565">
        <w:rPr>
          <w:lang w:val="pt-BR"/>
        </w:rPr>
        <w:t>ar</w:t>
      </w:r>
      <w:r w:rsidRPr="002F4565">
        <w:rPr>
          <w:lang w:val="pt-BR"/>
        </w:rPr>
        <w:t>, prote</w:t>
      </w:r>
      <w:r w:rsidR="0085423E" w:rsidRPr="002F4565">
        <w:rPr>
          <w:lang w:val="pt-BR"/>
        </w:rPr>
        <w:t>ger</w:t>
      </w:r>
      <w:r w:rsidRPr="002F4565">
        <w:rPr>
          <w:lang w:val="pt-BR"/>
        </w:rPr>
        <w:t xml:space="preserve"> </w:t>
      </w:r>
      <w:r w:rsidR="0049090C" w:rsidRPr="002F4565">
        <w:rPr>
          <w:lang w:val="pt-BR"/>
        </w:rPr>
        <w:t>e</w:t>
      </w:r>
      <w:r w:rsidRPr="002F4565">
        <w:rPr>
          <w:lang w:val="pt-BR"/>
        </w:rPr>
        <w:t xml:space="preserve"> </w:t>
      </w:r>
      <w:r w:rsidR="0007577A" w:rsidRPr="002F4565">
        <w:rPr>
          <w:lang w:val="pt-BR"/>
        </w:rPr>
        <w:t>concretizar</w:t>
      </w:r>
      <w:r w:rsidRPr="002F4565">
        <w:rPr>
          <w:lang w:val="pt-BR"/>
        </w:rPr>
        <w:t xml:space="preserve">, </w:t>
      </w:r>
      <w:r w:rsidR="0085423E" w:rsidRPr="002F4565">
        <w:rPr>
          <w:lang w:val="pt-BR"/>
        </w:rPr>
        <w:t xml:space="preserve">os </w:t>
      </w:r>
      <w:r w:rsidR="0049090C" w:rsidRPr="002F4565">
        <w:rPr>
          <w:lang w:val="pt-BR"/>
        </w:rPr>
        <w:t>Estados</w:t>
      </w:r>
      <w:r w:rsidRPr="002F4565">
        <w:rPr>
          <w:lang w:val="pt-BR"/>
        </w:rPr>
        <w:t xml:space="preserve"> </w:t>
      </w:r>
      <w:r w:rsidR="0085423E" w:rsidRPr="002F4565">
        <w:rPr>
          <w:lang w:val="pt-BR"/>
        </w:rPr>
        <w:t xml:space="preserve">devem não apenas fornecer </w:t>
      </w:r>
      <w:r w:rsidR="0049090C" w:rsidRPr="002F4565">
        <w:rPr>
          <w:lang w:val="pt-BR"/>
        </w:rPr>
        <w:t>alimento</w:t>
      </w:r>
      <w:r w:rsidR="0085423E" w:rsidRPr="002F4565">
        <w:rPr>
          <w:lang w:val="pt-BR"/>
        </w:rPr>
        <w:t xml:space="preserve">s nutritivos como </w:t>
      </w:r>
      <w:r w:rsidR="00F21F55" w:rsidRPr="002F4565">
        <w:rPr>
          <w:lang w:val="pt-BR"/>
        </w:rPr>
        <w:t>também</w:t>
      </w:r>
      <w:r w:rsidRPr="002F4565">
        <w:rPr>
          <w:lang w:val="pt-BR"/>
        </w:rPr>
        <w:t xml:space="preserve"> institu</w:t>
      </w:r>
      <w:r w:rsidR="0085423E" w:rsidRPr="002F4565">
        <w:rPr>
          <w:lang w:val="pt-BR"/>
        </w:rPr>
        <w:t xml:space="preserve">ir medidas em todas as áreas de formulação de </w:t>
      </w:r>
      <w:r w:rsidR="0007577A" w:rsidRPr="002F4565">
        <w:rPr>
          <w:lang w:val="pt-BR"/>
        </w:rPr>
        <w:t>políticas</w:t>
      </w:r>
      <w:r w:rsidR="0085423E" w:rsidRPr="002F4565">
        <w:rPr>
          <w:lang w:val="pt-BR"/>
        </w:rPr>
        <w:t xml:space="preserve"> para reduzir o </w:t>
      </w:r>
      <w:r w:rsidR="00F21F55" w:rsidRPr="002F4565">
        <w:rPr>
          <w:lang w:val="pt-BR"/>
        </w:rPr>
        <w:t>ônus</w:t>
      </w:r>
      <w:r w:rsidRPr="002F4565">
        <w:rPr>
          <w:lang w:val="pt-BR"/>
        </w:rPr>
        <w:t xml:space="preserve"> </w:t>
      </w:r>
      <w:r w:rsidR="0049090C" w:rsidRPr="002F4565">
        <w:rPr>
          <w:lang w:val="pt-BR"/>
        </w:rPr>
        <w:t>d</w:t>
      </w:r>
      <w:r w:rsidR="0007577A" w:rsidRPr="002F4565">
        <w:rPr>
          <w:lang w:val="pt-BR"/>
        </w:rPr>
        <w:t>as</w:t>
      </w:r>
      <w:r w:rsidRPr="002F4565">
        <w:rPr>
          <w:lang w:val="pt-BR"/>
        </w:rPr>
        <w:t xml:space="preserve"> </w:t>
      </w:r>
      <w:r w:rsidR="0049090C" w:rsidRPr="002F4565">
        <w:rPr>
          <w:lang w:val="pt-BR"/>
        </w:rPr>
        <w:t>DNTs relacionadas com a dieta</w:t>
      </w:r>
      <w:r w:rsidRPr="002F4565">
        <w:rPr>
          <w:lang w:val="pt-BR"/>
        </w:rPr>
        <w:t>.</w:t>
      </w:r>
      <w:r w:rsidR="0085423E"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14. </w:t>
      </w:r>
      <w:r w:rsidR="0085423E" w:rsidRPr="002F4565">
        <w:rPr>
          <w:lang w:val="pt-BR"/>
        </w:rPr>
        <w:t>A</w:t>
      </w:r>
      <w:r w:rsidRPr="002F4565">
        <w:rPr>
          <w:lang w:val="pt-BR"/>
        </w:rPr>
        <w:t xml:space="preserve"> </w:t>
      </w:r>
      <w:r w:rsidR="006A31E1" w:rsidRPr="002F4565">
        <w:rPr>
          <w:lang w:val="pt-BR"/>
        </w:rPr>
        <w:t>obrigação</w:t>
      </w:r>
      <w:r w:rsidRPr="002F4565">
        <w:rPr>
          <w:lang w:val="pt-BR"/>
        </w:rPr>
        <w:t xml:space="preserve"> </w:t>
      </w:r>
      <w:r w:rsidR="0085423E" w:rsidRPr="002F4565">
        <w:rPr>
          <w:lang w:val="pt-BR"/>
        </w:rPr>
        <w:t>de</w:t>
      </w:r>
      <w:r w:rsidRPr="002F4565">
        <w:rPr>
          <w:lang w:val="pt-BR"/>
        </w:rPr>
        <w:t xml:space="preserve"> </w:t>
      </w:r>
      <w:r w:rsidR="00F21F55" w:rsidRPr="002F4565">
        <w:rPr>
          <w:lang w:val="pt-BR"/>
        </w:rPr>
        <w:t>respeit</w:t>
      </w:r>
      <w:r w:rsidR="0085423E" w:rsidRPr="002F4565">
        <w:rPr>
          <w:lang w:val="pt-BR"/>
        </w:rPr>
        <w:t>ar</w:t>
      </w:r>
      <w:r w:rsidRPr="002F4565">
        <w:rPr>
          <w:lang w:val="pt-BR"/>
        </w:rPr>
        <w:t xml:space="preserve">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5A25F5" w:rsidRPr="002F4565">
        <w:rPr>
          <w:lang w:val="pt-BR"/>
        </w:rPr>
        <w:t>é</w:t>
      </w:r>
      <w:r w:rsidRPr="002F4565">
        <w:rPr>
          <w:lang w:val="pt-BR"/>
        </w:rPr>
        <w:t xml:space="preserve"> </w:t>
      </w:r>
      <w:r w:rsidR="00624BDC" w:rsidRPr="002F4565">
        <w:rPr>
          <w:lang w:val="pt-BR"/>
        </w:rPr>
        <w:t>um dever negativo</w:t>
      </w:r>
      <w:r w:rsidRPr="002F4565">
        <w:rPr>
          <w:lang w:val="pt-BR"/>
        </w:rPr>
        <w:t xml:space="preserve"> </w:t>
      </w:r>
      <w:r w:rsidR="0049090C" w:rsidRPr="002F4565">
        <w:rPr>
          <w:lang w:val="pt-BR"/>
        </w:rPr>
        <w:t>d</w:t>
      </w:r>
      <w:r w:rsidR="00261A8A" w:rsidRPr="002F4565">
        <w:rPr>
          <w:lang w:val="pt-BR"/>
        </w:rPr>
        <w:t>o</w:t>
      </w:r>
      <w:r w:rsidRPr="002F4565">
        <w:rPr>
          <w:lang w:val="pt-BR"/>
        </w:rPr>
        <w:t xml:space="preserve"> </w:t>
      </w:r>
      <w:r w:rsidR="006A31E1" w:rsidRPr="002F4565">
        <w:rPr>
          <w:lang w:val="pt-BR"/>
        </w:rPr>
        <w:t>Estado</w:t>
      </w:r>
      <w:r w:rsidRPr="002F4565">
        <w:rPr>
          <w:lang w:val="pt-BR"/>
        </w:rPr>
        <w:t xml:space="preserve"> </w:t>
      </w:r>
      <w:r w:rsidR="00624BDC" w:rsidRPr="002F4565">
        <w:rPr>
          <w:lang w:val="pt-BR"/>
        </w:rPr>
        <w:t xml:space="preserve">de se abster de </w:t>
      </w:r>
      <w:r w:rsidRPr="002F4565">
        <w:rPr>
          <w:lang w:val="pt-BR"/>
        </w:rPr>
        <w:t>interferi</w:t>
      </w:r>
      <w:r w:rsidR="00624BDC" w:rsidRPr="002F4565">
        <w:rPr>
          <w:lang w:val="pt-BR"/>
        </w:rPr>
        <w:t>r no exercício</w:t>
      </w:r>
      <w:r w:rsidR="0007577A" w:rsidRPr="002F4565">
        <w:rPr>
          <w:lang w:val="pt-BR"/>
        </w:rPr>
        <w:t>,</w:t>
      </w:r>
      <w:r w:rsidR="00624BDC" w:rsidRPr="002F4565">
        <w:rPr>
          <w:lang w:val="pt-BR"/>
        </w:rPr>
        <w:t xml:space="preserve"> pelas </w:t>
      </w:r>
      <w:r w:rsidR="006A31E1" w:rsidRPr="002F4565">
        <w:rPr>
          <w:lang w:val="pt-BR"/>
        </w:rPr>
        <w:t>pessoas</w:t>
      </w:r>
      <w:r w:rsidR="0007577A" w:rsidRPr="002F4565">
        <w:rPr>
          <w:lang w:val="pt-BR"/>
        </w:rPr>
        <w:t>,</w:t>
      </w:r>
      <w:r w:rsidR="00624BDC" w:rsidRPr="002F4565">
        <w:rPr>
          <w:lang w:val="pt-BR"/>
        </w:rPr>
        <w:t xml:space="preserve"> de seu </w:t>
      </w:r>
      <w:r w:rsidR="00F21F55" w:rsidRPr="002F4565">
        <w:rPr>
          <w:lang w:val="pt-BR"/>
        </w:rPr>
        <w:t>direito à saúde</w:t>
      </w:r>
      <w:r w:rsidRPr="002F4565">
        <w:rPr>
          <w:lang w:val="pt-BR"/>
        </w:rPr>
        <w:t xml:space="preserve">. </w:t>
      </w:r>
      <w:r w:rsidR="00624BDC" w:rsidRPr="002F4565">
        <w:rPr>
          <w:lang w:val="pt-BR"/>
        </w:rPr>
        <w:t xml:space="preserve">Reconhece </w:t>
      </w:r>
      <w:r w:rsidR="00261A8A" w:rsidRPr="002F4565">
        <w:rPr>
          <w:lang w:val="pt-BR"/>
        </w:rPr>
        <w:t>o</w:t>
      </w:r>
      <w:r w:rsidRPr="002F4565">
        <w:rPr>
          <w:lang w:val="pt-BR"/>
        </w:rPr>
        <w:t xml:space="preserve"> </w:t>
      </w:r>
      <w:r w:rsidR="0049090C" w:rsidRPr="002F4565">
        <w:rPr>
          <w:lang w:val="pt-BR"/>
        </w:rPr>
        <w:t>direito</w:t>
      </w:r>
      <w:r w:rsidRPr="002F4565">
        <w:rPr>
          <w:lang w:val="pt-BR"/>
        </w:rPr>
        <w:t xml:space="preserve"> </w:t>
      </w:r>
      <w:r w:rsidR="0049090C" w:rsidRPr="002F4565">
        <w:rPr>
          <w:lang w:val="pt-BR"/>
        </w:rPr>
        <w:t>e</w:t>
      </w:r>
      <w:r w:rsidRPr="002F4565">
        <w:rPr>
          <w:lang w:val="pt-BR"/>
        </w:rPr>
        <w:t xml:space="preserve"> </w:t>
      </w:r>
      <w:r w:rsidR="00624BDC" w:rsidRPr="002F4565">
        <w:rPr>
          <w:lang w:val="pt-BR"/>
        </w:rPr>
        <w:t xml:space="preserve">a </w:t>
      </w:r>
      <w:r w:rsidRPr="002F4565">
        <w:rPr>
          <w:lang w:val="pt-BR"/>
        </w:rPr>
        <w:t>auto</w:t>
      </w:r>
      <w:r w:rsidR="00624BDC" w:rsidRPr="002F4565">
        <w:rPr>
          <w:lang w:val="pt-BR"/>
        </w:rPr>
        <w:t>nomia</w:t>
      </w:r>
      <w:r w:rsidRPr="002F4565">
        <w:rPr>
          <w:lang w:val="pt-BR"/>
        </w:rPr>
        <w:t xml:space="preserve"> </w:t>
      </w:r>
      <w:r w:rsidR="0049090C" w:rsidRPr="002F4565">
        <w:rPr>
          <w:lang w:val="pt-BR"/>
        </w:rPr>
        <w:t>d</w:t>
      </w:r>
      <w:r w:rsidR="00624BDC" w:rsidRPr="002F4565">
        <w:rPr>
          <w:lang w:val="pt-BR"/>
        </w:rPr>
        <w:t>os</w:t>
      </w:r>
      <w:r w:rsidRPr="002F4565">
        <w:rPr>
          <w:lang w:val="pt-BR"/>
        </w:rPr>
        <w:t xml:space="preserve"> </w:t>
      </w:r>
      <w:r w:rsidR="0049090C" w:rsidRPr="002F4565">
        <w:rPr>
          <w:lang w:val="pt-BR"/>
        </w:rPr>
        <w:t>indivíduos</w:t>
      </w:r>
      <w:r w:rsidRPr="002F4565">
        <w:rPr>
          <w:lang w:val="pt-BR"/>
        </w:rPr>
        <w:t xml:space="preserve"> </w:t>
      </w:r>
      <w:r w:rsidR="00624BDC" w:rsidRPr="002F4565">
        <w:rPr>
          <w:lang w:val="pt-BR"/>
        </w:rPr>
        <w:t>de tomar decisões</w:t>
      </w:r>
      <w:r w:rsidRPr="002F4565">
        <w:rPr>
          <w:lang w:val="pt-BR"/>
        </w:rPr>
        <w:t xml:space="preserve"> </w:t>
      </w:r>
      <w:r w:rsidR="00624BDC" w:rsidRPr="002F4565">
        <w:rPr>
          <w:lang w:val="pt-BR"/>
        </w:rPr>
        <w:t xml:space="preserve">bem informadas </w:t>
      </w:r>
      <w:r w:rsidR="00F21F55" w:rsidRPr="002F4565">
        <w:rPr>
          <w:lang w:val="pt-BR"/>
        </w:rPr>
        <w:t>com</w:t>
      </w:r>
      <w:r w:rsidRPr="002F4565">
        <w:rPr>
          <w:lang w:val="pt-BR"/>
        </w:rPr>
        <w:t xml:space="preserve"> </w:t>
      </w:r>
      <w:r w:rsidR="00F21F55" w:rsidRPr="002F4565">
        <w:rPr>
          <w:lang w:val="pt-BR"/>
        </w:rPr>
        <w:t>respeito</w:t>
      </w:r>
      <w:r w:rsidRPr="002F4565">
        <w:rPr>
          <w:lang w:val="pt-BR"/>
        </w:rPr>
        <w:t xml:space="preserve"> </w:t>
      </w:r>
      <w:r w:rsidR="00624BDC" w:rsidRPr="002F4565">
        <w:rPr>
          <w:lang w:val="pt-BR"/>
        </w:rPr>
        <w:t xml:space="preserve">à </w:t>
      </w:r>
      <w:r w:rsidR="0049090C" w:rsidRPr="002F4565">
        <w:rPr>
          <w:lang w:val="pt-BR"/>
        </w:rPr>
        <w:t>saúde</w:t>
      </w:r>
      <w:r w:rsidRPr="002F4565">
        <w:rPr>
          <w:lang w:val="pt-BR"/>
        </w:rPr>
        <w:t xml:space="preserve">. </w:t>
      </w:r>
      <w:r w:rsidR="00624BDC" w:rsidRPr="002F4565">
        <w:rPr>
          <w:lang w:val="pt-BR"/>
        </w:rPr>
        <w:t xml:space="preserve">A </w:t>
      </w:r>
      <w:r w:rsidR="006A31E1" w:rsidRPr="002F4565">
        <w:rPr>
          <w:lang w:val="pt-BR"/>
        </w:rPr>
        <w:t>obrigação</w:t>
      </w:r>
      <w:r w:rsidRPr="002F4565">
        <w:rPr>
          <w:lang w:val="pt-BR"/>
        </w:rPr>
        <w:t xml:space="preserve"> </w:t>
      </w:r>
      <w:r w:rsidR="00624BDC" w:rsidRPr="002F4565">
        <w:rPr>
          <w:lang w:val="pt-BR"/>
        </w:rPr>
        <w:t xml:space="preserve">de </w:t>
      </w:r>
      <w:r w:rsidR="005A25F5" w:rsidRPr="002F4565">
        <w:rPr>
          <w:lang w:val="pt-BR"/>
        </w:rPr>
        <w:t>não</w:t>
      </w:r>
      <w:r w:rsidRPr="002F4565">
        <w:rPr>
          <w:lang w:val="pt-BR"/>
        </w:rPr>
        <w:t xml:space="preserve"> inter</w:t>
      </w:r>
      <w:r w:rsidR="00624BDC" w:rsidRPr="002F4565">
        <w:rPr>
          <w:lang w:val="pt-BR"/>
        </w:rPr>
        <w:t>ferir na tomada de decisão</w:t>
      </w:r>
      <w:r w:rsidRPr="002F4565">
        <w:rPr>
          <w:lang w:val="pt-BR"/>
        </w:rPr>
        <w:t xml:space="preserve"> </w:t>
      </w:r>
      <w:r w:rsidR="00624BDC" w:rsidRPr="002F4565">
        <w:rPr>
          <w:lang w:val="pt-BR"/>
        </w:rPr>
        <w:t>individual</w:t>
      </w:r>
      <w:r w:rsidRPr="002F4565">
        <w:rPr>
          <w:lang w:val="pt-BR"/>
        </w:rPr>
        <w:t xml:space="preserve">, </w:t>
      </w:r>
      <w:r w:rsidR="00FB4DE4" w:rsidRPr="002F4565">
        <w:rPr>
          <w:lang w:val="pt-BR"/>
        </w:rPr>
        <w:t>no entanto</w:t>
      </w:r>
      <w:r w:rsidRPr="002F4565">
        <w:rPr>
          <w:lang w:val="pt-BR"/>
        </w:rPr>
        <w:t xml:space="preserve">, </w:t>
      </w:r>
      <w:r w:rsidR="00624BDC" w:rsidRPr="002F4565">
        <w:rPr>
          <w:lang w:val="pt-BR"/>
        </w:rPr>
        <w:t>não implica uma abordagem</w:t>
      </w:r>
      <w:r w:rsidRPr="002F4565">
        <w:rPr>
          <w:lang w:val="pt-BR"/>
        </w:rPr>
        <w:t xml:space="preserve"> </w:t>
      </w:r>
      <w:r w:rsidR="00624BDC" w:rsidRPr="002F4565">
        <w:rPr>
          <w:lang w:val="pt-BR"/>
        </w:rPr>
        <w:t xml:space="preserve">desengajada dos </w:t>
      </w:r>
      <w:r w:rsidR="0049090C" w:rsidRPr="002F4565">
        <w:rPr>
          <w:lang w:val="pt-BR"/>
        </w:rPr>
        <w:t>Estados</w:t>
      </w:r>
      <w:r w:rsidRPr="002F4565">
        <w:rPr>
          <w:lang w:val="pt-BR"/>
        </w:rPr>
        <w:t xml:space="preserve"> </w:t>
      </w:r>
      <w:r w:rsidR="00624BDC" w:rsidRPr="002F4565">
        <w:rPr>
          <w:lang w:val="pt-BR"/>
        </w:rPr>
        <w:t>em relação às leis</w:t>
      </w:r>
      <w:r w:rsidRPr="002F4565">
        <w:rPr>
          <w:lang w:val="pt-BR"/>
        </w:rPr>
        <w:t xml:space="preserve"> </w:t>
      </w:r>
      <w:r w:rsidR="0049090C" w:rsidRPr="002F4565">
        <w:rPr>
          <w:lang w:val="pt-BR"/>
        </w:rPr>
        <w:t>e</w:t>
      </w:r>
      <w:r w:rsidRPr="002F4565">
        <w:rPr>
          <w:lang w:val="pt-BR"/>
        </w:rPr>
        <w:t xml:space="preserve"> </w:t>
      </w:r>
      <w:r w:rsidR="0049090C" w:rsidRPr="002F4565">
        <w:rPr>
          <w:lang w:val="pt-BR"/>
        </w:rPr>
        <w:t>políticas</w:t>
      </w:r>
      <w:r w:rsidRPr="002F4565">
        <w:rPr>
          <w:lang w:val="pt-BR"/>
        </w:rPr>
        <w:t xml:space="preserve"> </w:t>
      </w:r>
      <w:r w:rsidR="00624BDC" w:rsidRPr="002F4565">
        <w:rPr>
          <w:lang w:val="pt-BR"/>
        </w:rPr>
        <w:t xml:space="preserve">referentes à </w:t>
      </w:r>
      <w:r w:rsidR="00F21F55" w:rsidRPr="002F4565">
        <w:rPr>
          <w:lang w:val="pt-BR"/>
        </w:rPr>
        <w:t>indústria de alimentos</w:t>
      </w:r>
      <w:r w:rsidRPr="002F4565">
        <w:rPr>
          <w:lang w:val="pt-BR"/>
        </w:rPr>
        <w:t xml:space="preserve">. </w:t>
      </w:r>
      <w:r w:rsidR="00624BDC" w:rsidRPr="002F4565">
        <w:rPr>
          <w:lang w:val="pt-BR"/>
        </w:rPr>
        <w:t>A</w:t>
      </w:r>
      <w:r w:rsidR="00F21F55" w:rsidRPr="002F4565">
        <w:rPr>
          <w:lang w:val="pt-BR"/>
        </w:rPr>
        <w:t>lternativas</w:t>
      </w:r>
      <w:r w:rsidR="00624BDC" w:rsidRPr="002F4565">
        <w:rPr>
          <w:lang w:val="pt-BR"/>
        </w:rPr>
        <w:t xml:space="preserve"> viáveis</w:t>
      </w:r>
      <w:r w:rsidRPr="002F4565">
        <w:rPr>
          <w:lang w:val="pt-BR"/>
        </w:rPr>
        <w:t xml:space="preserve"> </w:t>
      </w:r>
      <w:r w:rsidR="00624BDC" w:rsidRPr="002F4565">
        <w:rPr>
          <w:lang w:val="pt-BR"/>
        </w:rPr>
        <w:t xml:space="preserve">devem estar disponíveis </w:t>
      </w:r>
      <w:r w:rsidR="0049090C" w:rsidRPr="002F4565">
        <w:rPr>
          <w:lang w:val="pt-BR"/>
        </w:rPr>
        <w:t>e</w:t>
      </w:r>
      <w:r w:rsidRPr="002F4565">
        <w:rPr>
          <w:lang w:val="pt-BR"/>
        </w:rPr>
        <w:t xml:space="preserve"> </w:t>
      </w:r>
      <w:r w:rsidR="00624BDC" w:rsidRPr="002F4565">
        <w:rPr>
          <w:lang w:val="pt-BR"/>
        </w:rPr>
        <w:t>acessíveis</w:t>
      </w:r>
      <w:r w:rsidRPr="002F4565">
        <w:rPr>
          <w:lang w:val="pt-BR"/>
        </w:rPr>
        <w:t xml:space="preserve"> </w:t>
      </w:r>
      <w:r w:rsidR="00624BDC" w:rsidRPr="002F4565">
        <w:rPr>
          <w:lang w:val="pt-BR"/>
        </w:rPr>
        <w:t xml:space="preserve">aos </w:t>
      </w:r>
      <w:r w:rsidR="0049090C" w:rsidRPr="002F4565">
        <w:rPr>
          <w:lang w:val="pt-BR"/>
        </w:rPr>
        <w:t>indivíduos</w:t>
      </w:r>
      <w:r w:rsidRPr="002F4565">
        <w:rPr>
          <w:lang w:val="pt-BR"/>
        </w:rPr>
        <w:t xml:space="preserve"> </w:t>
      </w:r>
      <w:r w:rsidR="00624BDC" w:rsidRPr="002F4565">
        <w:rPr>
          <w:lang w:val="pt-BR"/>
        </w:rPr>
        <w:t>para escolherem uma dieta saudável</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15. </w:t>
      </w:r>
      <w:r w:rsidR="00624BDC" w:rsidRPr="002F4565">
        <w:rPr>
          <w:lang w:val="pt-BR"/>
        </w:rPr>
        <w:t xml:space="preserve">Os </w:t>
      </w:r>
      <w:r w:rsidR="0049090C" w:rsidRPr="002F4565">
        <w:rPr>
          <w:lang w:val="pt-BR"/>
        </w:rPr>
        <w:t>Estados</w:t>
      </w:r>
      <w:r w:rsidRPr="002F4565">
        <w:rPr>
          <w:lang w:val="pt-BR"/>
        </w:rPr>
        <w:t xml:space="preserve"> </w:t>
      </w:r>
      <w:r w:rsidR="00F21F55" w:rsidRPr="002F4565">
        <w:rPr>
          <w:lang w:val="pt-BR"/>
        </w:rPr>
        <w:t>também</w:t>
      </w:r>
      <w:r w:rsidRPr="002F4565">
        <w:rPr>
          <w:lang w:val="pt-BR"/>
        </w:rPr>
        <w:t xml:space="preserve"> </w:t>
      </w:r>
      <w:r w:rsidR="00624BDC" w:rsidRPr="002F4565">
        <w:rPr>
          <w:lang w:val="pt-BR"/>
        </w:rPr>
        <w:t xml:space="preserve">têm a </w:t>
      </w:r>
      <w:r w:rsidR="006A31E1" w:rsidRPr="002F4565">
        <w:rPr>
          <w:lang w:val="pt-BR"/>
        </w:rPr>
        <w:t>obrigação</w:t>
      </w:r>
      <w:r w:rsidRPr="002F4565">
        <w:rPr>
          <w:lang w:val="pt-BR"/>
        </w:rPr>
        <w:t xml:space="preserve"> </w:t>
      </w:r>
      <w:r w:rsidR="00624BDC" w:rsidRPr="002F4565">
        <w:rPr>
          <w:lang w:val="pt-BR"/>
        </w:rPr>
        <w:t>de</w:t>
      </w:r>
      <w:r w:rsidRPr="002F4565">
        <w:rPr>
          <w:lang w:val="pt-BR"/>
        </w:rPr>
        <w:t xml:space="preserve"> </w:t>
      </w:r>
      <w:r w:rsidR="00624BDC" w:rsidRPr="002F4565">
        <w:rPr>
          <w:lang w:val="pt-BR"/>
        </w:rPr>
        <w:t>proteger</w:t>
      </w:r>
      <w:r w:rsidRPr="002F4565">
        <w:rPr>
          <w:lang w:val="pt-BR"/>
        </w:rPr>
        <w:t xml:space="preserve"> </w:t>
      </w:r>
      <w:r w:rsidR="00624BDC" w:rsidRPr="002F4565">
        <w:rPr>
          <w:lang w:val="pt-BR"/>
        </w:rPr>
        <w:t xml:space="preserve">as </w:t>
      </w:r>
      <w:r w:rsidR="006A31E1" w:rsidRPr="002F4565">
        <w:rPr>
          <w:lang w:val="pt-BR"/>
        </w:rPr>
        <w:t>pessoas</w:t>
      </w:r>
      <w:r w:rsidRPr="002F4565">
        <w:rPr>
          <w:lang w:val="pt-BR"/>
        </w:rPr>
        <w:t xml:space="preserve"> </w:t>
      </w:r>
      <w:r w:rsidR="0063433D" w:rsidRPr="002F4565">
        <w:rPr>
          <w:lang w:val="pt-BR"/>
        </w:rPr>
        <w:t xml:space="preserve">contra </w:t>
      </w:r>
      <w:r w:rsidRPr="002F4565">
        <w:rPr>
          <w:lang w:val="pt-BR"/>
        </w:rPr>
        <w:t>viol</w:t>
      </w:r>
      <w:r w:rsidR="00F21F55" w:rsidRPr="002F4565">
        <w:rPr>
          <w:lang w:val="pt-BR"/>
        </w:rPr>
        <w:t>ações</w:t>
      </w:r>
      <w:r w:rsidRPr="002F4565">
        <w:rPr>
          <w:lang w:val="pt-BR"/>
        </w:rPr>
        <w:t xml:space="preserve"> </w:t>
      </w:r>
      <w:r w:rsidR="00624BDC" w:rsidRPr="002F4565">
        <w:rPr>
          <w:lang w:val="pt-BR"/>
        </w:rPr>
        <w:t xml:space="preserve">ao </w:t>
      </w:r>
      <w:r w:rsidR="00F21F55" w:rsidRPr="002F4565">
        <w:rPr>
          <w:lang w:val="pt-BR"/>
        </w:rPr>
        <w:t>direito à saúde</w:t>
      </w:r>
      <w:r w:rsidRPr="002F4565">
        <w:rPr>
          <w:lang w:val="pt-BR"/>
        </w:rPr>
        <w:t xml:space="preserve"> </w:t>
      </w:r>
      <w:r w:rsidR="00624BDC" w:rsidRPr="002F4565">
        <w:rPr>
          <w:lang w:val="pt-BR"/>
        </w:rPr>
        <w:t>por atividades</w:t>
      </w:r>
      <w:r w:rsidRPr="002F4565">
        <w:rPr>
          <w:lang w:val="pt-BR"/>
        </w:rPr>
        <w:t xml:space="preserve"> </w:t>
      </w:r>
      <w:r w:rsidR="0049090C" w:rsidRPr="002F4565">
        <w:rPr>
          <w:lang w:val="pt-BR"/>
        </w:rPr>
        <w:t>de</w:t>
      </w:r>
      <w:r w:rsidRPr="002F4565">
        <w:rPr>
          <w:lang w:val="pt-BR"/>
        </w:rPr>
        <w:t xml:space="preserve"> </w:t>
      </w:r>
      <w:r w:rsidR="00624BDC" w:rsidRPr="002F4565">
        <w:rPr>
          <w:lang w:val="pt-BR"/>
        </w:rPr>
        <w:t xml:space="preserve">agentes não pertencentes ao </w:t>
      </w:r>
      <w:r w:rsidR="006A31E1" w:rsidRPr="002F4565">
        <w:rPr>
          <w:lang w:val="pt-BR"/>
        </w:rPr>
        <w:t>Estado</w:t>
      </w:r>
      <w:r w:rsidRPr="002F4565">
        <w:rPr>
          <w:lang w:val="pt-BR"/>
        </w:rPr>
        <w:t xml:space="preserve">, </w:t>
      </w:r>
      <w:r w:rsidR="00F21F55" w:rsidRPr="002F4565">
        <w:rPr>
          <w:lang w:val="pt-BR"/>
        </w:rPr>
        <w:t>inclusive</w:t>
      </w:r>
      <w:r w:rsidRPr="002F4565">
        <w:rPr>
          <w:lang w:val="pt-BR"/>
        </w:rPr>
        <w:t xml:space="preserve"> </w:t>
      </w:r>
      <w:r w:rsidR="00624BDC" w:rsidRPr="002F4565">
        <w:rPr>
          <w:lang w:val="pt-BR"/>
        </w:rPr>
        <w:t>companhias privadas fabricantes de alimentos</w:t>
      </w:r>
      <w:r w:rsidRPr="002F4565">
        <w:rPr>
          <w:lang w:val="pt-BR"/>
        </w:rPr>
        <w:t xml:space="preserve">. </w:t>
      </w:r>
      <w:r w:rsidR="00624BDC" w:rsidRPr="002F4565">
        <w:rPr>
          <w:lang w:val="pt-BR"/>
        </w:rPr>
        <w:t>Por exemplo</w:t>
      </w:r>
      <w:r w:rsidRPr="002F4565">
        <w:rPr>
          <w:lang w:val="pt-BR"/>
        </w:rPr>
        <w:t xml:space="preserve">, </w:t>
      </w:r>
      <w:r w:rsidR="00624BDC" w:rsidRPr="002F4565">
        <w:rPr>
          <w:lang w:val="pt-BR"/>
        </w:rPr>
        <w:t xml:space="preserve">os </w:t>
      </w:r>
      <w:r w:rsidR="0049090C" w:rsidRPr="002F4565">
        <w:rPr>
          <w:lang w:val="pt-BR"/>
        </w:rPr>
        <w:t>Estados</w:t>
      </w:r>
      <w:r w:rsidRPr="002F4565">
        <w:rPr>
          <w:lang w:val="pt-BR"/>
        </w:rPr>
        <w:t xml:space="preserve"> </w:t>
      </w:r>
      <w:r w:rsidR="00624BDC" w:rsidRPr="002F4565">
        <w:rPr>
          <w:lang w:val="pt-BR"/>
        </w:rPr>
        <w:t xml:space="preserve">devem garantir </w:t>
      </w:r>
      <w:r w:rsidR="006A31E1" w:rsidRPr="002F4565">
        <w:rPr>
          <w:lang w:val="pt-BR"/>
        </w:rPr>
        <w:t>que</w:t>
      </w:r>
      <w:r w:rsidRPr="002F4565">
        <w:rPr>
          <w:lang w:val="pt-BR"/>
        </w:rPr>
        <w:t xml:space="preserve"> </w:t>
      </w:r>
      <w:r w:rsidR="00624BDC" w:rsidRPr="002F4565">
        <w:rPr>
          <w:lang w:val="pt-BR"/>
        </w:rPr>
        <w:t>a propaganda</w:t>
      </w:r>
      <w:r w:rsidRPr="002F4565">
        <w:rPr>
          <w:lang w:val="pt-BR"/>
        </w:rPr>
        <w:t xml:space="preserve"> </w:t>
      </w:r>
      <w:r w:rsidR="0049090C" w:rsidRPr="002F4565">
        <w:rPr>
          <w:lang w:val="pt-BR"/>
        </w:rPr>
        <w:t>e</w:t>
      </w:r>
      <w:r w:rsidRPr="002F4565">
        <w:rPr>
          <w:lang w:val="pt-BR"/>
        </w:rPr>
        <w:t xml:space="preserve"> prom</w:t>
      </w:r>
      <w:r w:rsidR="00F21F55" w:rsidRPr="002F4565">
        <w:rPr>
          <w:lang w:val="pt-BR"/>
        </w:rPr>
        <w:t>oção</w:t>
      </w:r>
      <w:r w:rsidR="0063433D" w:rsidRPr="002F4565">
        <w:rPr>
          <w:lang w:val="pt-BR"/>
        </w:rPr>
        <w:t>,</w:t>
      </w:r>
      <w:r w:rsidRPr="002F4565">
        <w:rPr>
          <w:lang w:val="pt-BR"/>
        </w:rPr>
        <w:t xml:space="preserve"> </w:t>
      </w:r>
      <w:r w:rsidR="00624BDC" w:rsidRPr="002F4565">
        <w:rPr>
          <w:lang w:val="pt-BR"/>
        </w:rPr>
        <w:t xml:space="preserve">pelas fabricantes de </w:t>
      </w:r>
      <w:r w:rsidR="0049090C" w:rsidRPr="002F4565">
        <w:rPr>
          <w:lang w:val="pt-BR"/>
        </w:rPr>
        <w:t>alimento</w:t>
      </w:r>
      <w:r w:rsidR="00624BDC" w:rsidRPr="002F4565">
        <w:rPr>
          <w:lang w:val="pt-BR"/>
        </w:rPr>
        <w:t>s</w:t>
      </w:r>
      <w:r w:rsidR="0063433D" w:rsidRPr="002F4565">
        <w:rPr>
          <w:lang w:val="pt-BR"/>
        </w:rPr>
        <w:t>,</w:t>
      </w:r>
      <w:r w:rsidRPr="002F4565">
        <w:rPr>
          <w:lang w:val="pt-BR"/>
        </w:rPr>
        <w:t xml:space="preserve"> </w:t>
      </w:r>
      <w:r w:rsidR="00624BDC" w:rsidRPr="002F4565">
        <w:rPr>
          <w:lang w:val="pt-BR"/>
        </w:rPr>
        <w:t xml:space="preserve">transmitam </w:t>
      </w:r>
      <w:r w:rsidR="00F21F55" w:rsidRPr="002F4565">
        <w:rPr>
          <w:lang w:val="pt-BR"/>
        </w:rPr>
        <w:t>informações</w:t>
      </w:r>
      <w:r w:rsidRPr="002F4565">
        <w:rPr>
          <w:lang w:val="pt-BR"/>
        </w:rPr>
        <w:t xml:space="preserve"> </w:t>
      </w:r>
      <w:r w:rsidR="00624BDC" w:rsidRPr="002F4565">
        <w:rPr>
          <w:lang w:val="pt-BR"/>
        </w:rPr>
        <w:t xml:space="preserve">precisas e facilmente entendíveis sobre os possíveis efeitos prejudiciais </w:t>
      </w:r>
      <w:r w:rsidR="0049090C" w:rsidRPr="002F4565">
        <w:rPr>
          <w:lang w:val="pt-BR"/>
        </w:rPr>
        <w:t>de</w:t>
      </w:r>
      <w:r w:rsidRPr="002F4565">
        <w:rPr>
          <w:lang w:val="pt-BR"/>
        </w:rPr>
        <w:t xml:space="preserve"> </w:t>
      </w:r>
      <w:r w:rsidR="00624BDC" w:rsidRPr="002F4565">
        <w:rPr>
          <w:lang w:val="pt-BR"/>
        </w:rPr>
        <w:t xml:space="preserve">seus </w:t>
      </w:r>
      <w:r w:rsidR="00B5729E" w:rsidRPr="002F4565">
        <w:rPr>
          <w:lang w:val="pt-BR"/>
        </w:rPr>
        <w:t>produto</w:t>
      </w:r>
      <w:r w:rsidRPr="002F4565">
        <w:rPr>
          <w:lang w:val="pt-BR"/>
        </w:rPr>
        <w:t>s</w:t>
      </w:r>
      <w:r w:rsidR="00624BDC" w:rsidRPr="002F4565">
        <w:rPr>
          <w:lang w:val="pt-BR"/>
        </w:rPr>
        <w:t xml:space="preserve"> alimentícios</w:t>
      </w:r>
      <w:r w:rsidRPr="002F4565">
        <w:rPr>
          <w:lang w:val="pt-BR"/>
        </w:rPr>
        <w:t>.</w:t>
      </w:r>
    </w:p>
    <w:p w:rsidR="00115B91" w:rsidRPr="002F4565" w:rsidRDefault="00624BDC" w:rsidP="0051636A">
      <w:pPr>
        <w:spacing w:before="120" w:after="0" w:line="240" w:lineRule="auto"/>
        <w:rPr>
          <w:lang w:val="pt-BR"/>
        </w:rPr>
      </w:pPr>
      <w:r w:rsidRPr="002F4565">
        <w:rPr>
          <w:lang w:val="pt-BR"/>
        </w:rPr>
        <w:t xml:space="preserve">Isto </w:t>
      </w:r>
      <w:r w:rsidR="005A25F5" w:rsidRPr="002F4565">
        <w:rPr>
          <w:lang w:val="pt-BR"/>
        </w:rPr>
        <w:t>é</w:t>
      </w:r>
      <w:r w:rsidR="00115B91" w:rsidRPr="002F4565">
        <w:rPr>
          <w:lang w:val="pt-BR"/>
        </w:rPr>
        <w:t xml:space="preserve"> </w:t>
      </w:r>
      <w:r w:rsidR="006A31E1" w:rsidRPr="002F4565">
        <w:rPr>
          <w:lang w:val="pt-BR"/>
        </w:rPr>
        <w:t>importante</w:t>
      </w:r>
      <w:r w:rsidR="00115B91" w:rsidRPr="002F4565">
        <w:rPr>
          <w:lang w:val="pt-BR"/>
        </w:rPr>
        <w:t xml:space="preserve">, </w:t>
      </w:r>
      <w:r w:rsidR="00C47496" w:rsidRPr="002F4565">
        <w:rPr>
          <w:lang w:val="pt-BR"/>
        </w:rPr>
        <w:t xml:space="preserve">pois a retenção </w:t>
      </w:r>
      <w:r w:rsidR="0063433D" w:rsidRPr="002F4565">
        <w:rPr>
          <w:lang w:val="pt-BR"/>
        </w:rPr>
        <w:t xml:space="preserve">de informações </w:t>
      </w:r>
      <w:r w:rsidR="00C47496" w:rsidRPr="002F4565">
        <w:rPr>
          <w:lang w:val="pt-BR"/>
        </w:rPr>
        <w:t xml:space="preserve">ou declarações falsas sobre tais </w:t>
      </w:r>
      <w:r w:rsidR="00F21F55" w:rsidRPr="002F4565">
        <w:rPr>
          <w:lang w:val="pt-BR"/>
        </w:rPr>
        <w:t>informações</w:t>
      </w:r>
      <w:r w:rsidR="00115B91" w:rsidRPr="002F4565">
        <w:rPr>
          <w:lang w:val="pt-BR"/>
        </w:rPr>
        <w:t xml:space="preserve"> </w:t>
      </w:r>
      <w:r w:rsidR="00C47496" w:rsidRPr="002F4565">
        <w:rPr>
          <w:lang w:val="pt-BR"/>
        </w:rPr>
        <w:t>t</w:t>
      </w:r>
      <w:r w:rsidR="0063433D" w:rsidRPr="002F4565">
        <w:rPr>
          <w:lang w:val="pt-BR"/>
        </w:rPr>
        <w:t>ê</w:t>
      </w:r>
      <w:r w:rsidR="00C47496" w:rsidRPr="002F4565">
        <w:rPr>
          <w:lang w:val="pt-BR"/>
        </w:rPr>
        <w:t xml:space="preserve">m o potencial de afetar as escolhas de dietas das </w:t>
      </w:r>
      <w:r w:rsidR="006A31E1" w:rsidRPr="002F4565">
        <w:rPr>
          <w:lang w:val="pt-BR"/>
        </w:rPr>
        <w:t>pessoas</w:t>
      </w:r>
      <w:r w:rsidR="00115B91" w:rsidRPr="002F4565">
        <w:rPr>
          <w:lang w:val="pt-BR"/>
        </w:rPr>
        <w:t xml:space="preserve">, </w:t>
      </w:r>
      <w:r w:rsidR="0063433D" w:rsidRPr="002F4565">
        <w:rPr>
          <w:lang w:val="pt-BR"/>
        </w:rPr>
        <w:t xml:space="preserve">prejudicando </w:t>
      </w:r>
      <w:r w:rsidR="00C47496" w:rsidRPr="002F4565">
        <w:rPr>
          <w:lang w:val="pt-BR"/>
        </w:rPr>
        <w:t xml:space="preserve">o </w:t>
      </w:r>
      <w:r w:rsidR="00F21F55" w:rsidRPr="002F4565">
        <w:rPr>
          <w:lang w:val="pt-BR"/>
        </w:rPr>
        <w:t>direito à saúde</w:t>
      </w:r>
      <w:r w:rsidR="00115B91" w:rsidRPr="002F4565">
        <w:rPr>
          <w:lang w:val="pt-BR"/>
        </w:rPr>
        <w:t>.</w:t>
      </w:r>
    </w:p>
    <w:p w:rsidR="00115B91" w:rsidRPr="002F4565" w:rsidRDefault="00115B91" w:rsidP="0051636A">
      <w:pPr>
        <w:spacing w:before="120" w:after="0" w:line="240" w:lineRule="auto"/>
        <w:rPr>
          <w:lang w:val="pt-BR"/>
        </w:rPr>
      </w:pPr>
      <w:r w:rsidRPr="002F4565">
        <w:rPr>
          <w:lang w:val="pt-BR"/>
        </w:rPr>
        <w:t xml:space="preserve">16. </w:t>
      </w:r>
      <w:r w:rsidR="00C47496" w:rsidRPr="002F4565">
        <w:rPr>
          <w:lang w:val="pt-BR"/>
        </w:rPr>
        <w:t xml:space="preserve">O exercício do </w:t>
      </w:r>
      <w:r w:rsidR="00F21F55" w:rsidRPr="002F4565">
        <w:rPr>
          <w:lang w:val="pt-BR"/>
        </w:rPr>
        <w:t>direito à saúde</w:t>
      </w:r>
      <w:r w:rsidRPr="002F4565">
        <w:rPr>
          <w:lang w:val="pt-BR"/>
        </w:rPr>
        <w:t xml:space="preserve"> </w:t>
      </w:r>
      <w:r w:rsidR="005A25F5" w:rsidRPr="002F4565">
        <w:rPr>
          <w:lang w:val="pt-BR"/>
        </w:rPr>
        <w:t>é</w:t>
      </w:r>
      <w:r w:rsidRPr="002F4565">
        <w:rPr>
          <w:lang w:val="pt-BR"/>
        </w:rPr>
        <w:t xml:space="preserve"> </w:t>
      </w:r>
      <w:r w:rsidR="00C47496" w:rsidRPr="002F4565">
        <w:rPr>
          <w:lang w:val="pt-BR"/>
        </w:rPr>
        <w:t>um</w:t>
      </w:r>
      <w:r w:rsidRPr="002F4565">
        <w:rPr>
          <w:lang w:val="pt-BR"/>
        </w:rPr>
        <w:t xml:space="preserve">a </w:t>
      </w:r>
      <w:r w:rsidR="006A31E1" w:rsidRPr="002F4565">
        <w:rPr>
          <w:lang w:val="pt-BR"/>
        </w:rPr>
        <w:t>obrigação</w:t>
      </w:r>
      <w:r w:rsidRPr="002F4565">
        <w:rPr>
          <w:lang w:val="pt-BR"/>
        </w:rPr>
        <w:t xml:space="preserve"> </w:t>
      </w:r>
      <w:r w:rsidR="00C47496" w:rsidRPr="002F4565">
        <w:rPr>
          <w:lang w:val="pt-BR"/>
        </w:rPr>
        <w:t xml:space="preserve">positiva </w:t>
      </w:r>
      <w:r w:rsidR="006A31E1" w:rsidRPr="002F4565">
        <w:rPr>
          <w:lang w:val="pt-BR"/>
        </w:rPr>
        <w:t>que</w:t>
      </w:r>
      <w:r w:rsidRPr="002F4565">
        <w:rPr>
          <w:lang w:val="pt-BR"/>
        </w:rPr>
        <w:t xml:space="preserve"> </w:t>
      </w:r>
      <w:r w:rsidR="00C47496" w:rsidRPr="002F4565">
        <w:rPr>
          <w:lang w:val="pt-BR"/>
        </w:rPr>
        <w:t xml:space="preserve">exige que os </w:t>
      </w:r>
      <w:r w:rsidR="0049090C" w:rsidRPr="002F4565">
        <w:rPr>
          <w:lang w:val="pt-BR"/>
        </w:rPr>
        <w:t>Estados</w:t>
      </w:r>
      <w:r w:rsidRPr="002F4565">
        <w:rPr>
          <w:lang w:val="pt-BR"/>
        </w:rPr>
        <w:t xml:space="preserve"> adot</w:t>
      </w:r>
      <w:r w:rsidR="00C47496" w:rsidRPr="002F4565">
        <w:rPr>
          <w:lang w:val="pt-BR"/>
        </w:rPr>
        <w:t>em</w:t>
      </w:r>
      <w:r w:rsidRPr="002F4565">
        <w:rPr>
          <w:lang w:val="pt-BR"/>
        </w:rPr>
        <w:t xml:space="preserve"> </w:t>
      </w:r>
      <w:r w:rsidR="00C47496" w:rsidRPr="002F4565">
        <w:rPr>
          <w:lang w:val="pt-BR"/>
        </w:rPr>
        <w:t>um</w:t>
      </w:r>
      <w:r w:rsidRPr="002F4565">
        <w:rPr>
          <w:lang w:val="pt-BR"/>
        </w:rPr>
        <w:t xml:space="preserve">a </w:t>
      </w:r>
      <w:r w:rsidR="00C47496" w:rsidRPr="002F4565">
        <w:rPr>
          <w:lang w:val="pt-BR"/>
        </w:rPr>
        <w:t>estratégia nacional</w:t>
      </w:r>
      <w:r w:rsidRPr="002F4565">
        <w:rPr>
          <w:lang w:val="pt-BR"/>
        </w:rPr>
        <w:t xml:space="preserve"> </w:t>
      </w:r>
      <w:r w:rsidR="00C47496" w:rsidRPr="002F4565">
        <w:rPr>
          <w:lang w:val="pt-BR"/>
        </w:rPr>
        <w:t>de saúde pública</w:t>
      </w:r>
      <w:r w:rsidRPr="002F4565">
        <w:rPr>
          <w:lang w:val="pt-BR"/>
        </w:rPr>
        <w:t xml:space="preserve"> </w:t>
      </w:r>
      <w:r w:rsidR="0049090C" w:rsidRPr="002F4565">
        <w:rPr>
          <w:lang w:val="pt-BR"/>
        </w:rPr>
        <w:t>e</w:t>
      </w:r>
      <w:r w:rsidRPr="002F4565">
        <w:rPr>
          <w:lang w:val="pt-BR"/>
        </w:rPr>
        <w:t xml:space="preserve"> </w:t>
      </w:r>
      <w:r w:rsidR="00C47496" w:rsidRPr="002F4565">
        <w:rPr>
          <w:lang w:val="pt-BR"/>
        </w:rPr>
        <w:t>um plano</w:t>
      </w:r>
      <w:r w:rsidRPr="002F4565">
        <w:rPr>
          <w:lang w:val="pt-BR"/>
        </w:rPr>
        <w:t xml:space="preserve"> </w:t>
      </w:r>
      <w:r w:rsidR="0049090C" w:rsidRPr="002F4565">
        <w:rPr>
          <w:lang w:val="pt-BR"/>
        </w:rPr>
        <w:t>de</w:t>
      </w:r>
      <w:r w:rsidRPr="002F4565">
        <w:rPr>
          <w:lang w:val="pt-BR"/>
        </w:rPr>
        <w:t xml:space="preserve"> </w:t>
      </w:r>
      <w:r w:rsidR="00C47496" w:rsidRPr="002F4565">
        <w:rPr>
          <w:lang w:val="pt-BR"/>
        </w:rPr>
        <w:t>ação</w:t>
      </w:r>
      <w:r w:rsidRPr="002F4565">
        <w:rPr>
          <w:lang w:val="pt-BR"/>
        </w:rPr>
        <w:t xml:space="preserve"> </w:t>
      </w:r>
      <w:r w:rsidR="00C47496" w:rsidRPr="002F4565">
        <w:rPr>
          <w:lang w:val="pt-BR"/>
        </w:rPr>
        <w:t xml:space="preserve">para atingir </w:t>
      </w:r>
      <w:r w:rsidR="00261A8A" w:rsidRPr="002F4565">
        <w:rPr>
          <w:lang w:val="pt-BR"/>
        </w:rPr>
        <w:t>o</w:t>
      </w:r>
      <w:r w:rsidR="00C47496" w:rsidRPr="002F4565">
        <w:rPr>
          <w:lang w:val="pt-BR"/>
        </w:rPr>
        <w:t xml:space="preserve">s mais elevados padrões de </w:t>
      </w:r>
      <w:r w:rsidR="0049090C" w:rsidRPr="002F4565">
        <w:rPr>
          <w:lang w:val="pt-BR"/>
        </w:rPr>
        <w:t>saúde</w:t>
      </w:r>
      <w:r w:rsidRPr="002F4565">
        <w:rPr>
          <w:lang w:val="pt-BR"/>
        </w:rPr>
        <w:t xml:space="preserve">. </w:t>
      </w:r>
      <w:r w:rsidR="00C47496" w:rsidRPr="002F4565">
        <w:rPr>
          <w:lang w:val="pt-BR"/>
        </w:rPr>
        <w:t xml:space="preserve">Os </w:t>
      </w:r>
      <w:r w:rsidR="0049090C" w:rsidRPr="002F4565">
        <w:rPr>
          <w:lang w:val="pt-BR"/>
        </w:rPr>
        <w:t>Estados</w:t>
      </w:r>
      <w:r w:rsidRPr="002F4565">
        <w:rPr>
          <w:lang w:val="pt-BR"/>
        </w:rPr>
        <w:t xml:space="preserve"> </w:t>
      </w:r>
      <w:r w:rsidR="00F21F55" w:rsidRPr="002F4565">
        <w:rPr>
          <w:lang w:val="pt-BR"/>
        </w:rPr>
        <w:t>também</w:t>
      </w:r>
      <w:r w:rsidRPr="002F4565">
        <w:rPr>
          <w:lang w:val="pt-BR"/>
        </w:rPr>
        <w:t xml:space="preserve"> </w:t>
      </w:r>
      <w:r w:rsidR="00C47496" w:rsidRPr="002F4565">
        <w:rPr>
          <w:lang w:val="pt-BR"/>
        </w:rPr>
        <w:t xml:space="preserve">têm </w:t>
      </w:r>
      <w:r w:rsidR="00261A8A" w:rsidRPr="002F4565">
        <w:rPr>
          <w:lang w:val="pt-BR"/>
        </w:rPr>
        <w:t>o</w:t>
      </w:r>
      <w:r w:rsidRPr="002F4565">
        <w:rPr>
          <w:lang w:val="pt-BR"/>
        </w:rPr>
        <w:t xml:space="preserve"> </w:t>
      </w:r>
      <w:r w:rsidR="00C47496" w:rsidRPr="002F4565">
        <w:rPr>
          <w:lang w:val="pt-BR"/>
        </w:rPr>
        <w:t>dever</w:t>
      </w:r>
      <w:r w:rsidRPr="002F4565">
        <w:rPr>
          <w:lang w:val="pt-BR"/>
        </w:rPr>
        <w:t xml:space="preserve"> </w:t>
      </w:r>
      <w:r w:rsidR="00C47496" w:rsidRPr="002F4565">
        <w:rPr>
          <w:lang w:val="pt-BR"/>
        </w:rPr>
        <w:t>de</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C47496" w:rsidRPr="002F4565">
        <w:rPr>
          <w:lang w:val="pt-BR"/>
        </w:rPr>
        <w:t xml:space="preserve">as </w:t>
      </w:r>
      <w:r w:rsidR="00F21F55" w:rsidRPr="002F4565">
        <w:rPr>
          <w:lang w:val="pt-BR"/>
        </w:rPr>
        <w:t>informações</w:t>
      </w:r>
      <w:r w:rsidRPr="002F4565">
        <w:rPr>
          <w:lang w:val="pt-BR"/>
        </w:rPr>
        <w:t xml:space="preserve"> </w:t>
      </w:r>
      <w:r w:rsidR="00C47496" w:rsidRPr="002F4565">
        <w:rPr>
          <w:lang w:val="pt-BR"/>
        </w:rPr>
        <w:t xml:space="preserve">relacionadas com </w:t>
      </w:r>
      <w:r w:rsidR="00624BDC" w:rsidRPr="002F4565">
        <w:rPr>
          <w:lang w:val="pt-BR"/>
        </w:rPr>
        <w:t>dieta saudável</w:t>
      </w:r>
      <w:r w:rsidR="00C47496" w:rsidRPr="002F4565">
        <w:rPr>
          <w:lang w:val="pt-BR"/>
        </w:rPr>
        <w:t xml:space="preserve"> </w:t>
      </w:r>
      <w:r w:rsidR="0063433D" w:rsidRPr="002F4565">
        <w:rPr>
          <w:lang w:val="pt-BR"/>
        </w:rPr>
        <w:t xml:space="preserve">serão </w:t>
      </w:r>
      <w:r w:rsidR="00C47496" w:rsidRPr="002F4565">
        <w:rPr>
          <w:lang w:val="pt-BR"/>
        </w:rPr>
        <w:t>precisas</w:t>
      </w:r>
      <w:r w:rsidRPr="002F4565">
        <w:rPr>
          <w:lang w:val="pt-BR"/>
        </w:rPr>
        <w:t xml:space="preserve"> </w:t>
      </w:r>
      <w:r w:rsidR="0049090C" w:rsidRPr="002F4565">
        <w:rPr>
          <w:lang w:val="pt-BR"/>
        </w:rPr>
        <w:t>e</w:t>
      </w:r>
      <w:r w:rsidRPr="002F4565">
        <w:rPr>
          <w:lang w:val="pt-BR"/>
        </w:rPr>
        <w:t xml:space="preserve"> </w:t>
      </w:r>
      <w:r w:rsidR="00C47496" w:rsidRPr="002F4565">
        <w:rPr>
          <w:lang w:val="pt-BR"/>
        </w:rPr>
        <w:t>est</w:t>
      </w:r>
      <w:r w:rsidR="0063433D" w:rsidRPr="002F4565">
        <w:rPr>
          <w:lang w:val="pt-BR"/>
        </w:rPr>
        <w:t>ar</w:t>
      </w:r>
      <w:r w:rsidR="00C47496" w:rsidRPr="002F4565">
        <w:rPr>
          <w:lang w:val="pt-BR"/>
        </w:rPr>
        <w:t xml:space="preserve">ão </w:t>
      </w:r>
      <w:r w:rsidR="00B5729E" w:rsidRPr="002F4565">
        <w:rPr>
          <w:lang w:val="pt-BR"/>
        </w:rPr>
        <w:t>disponíveis</w:t>
      </w:r>
      <w:r w:rsidRPr="002F4565">
        <w:rPr>
          <w:lang w:val="pt-BR"/>
        </w:rPr>
        <w:t xml:space="preserve"> </w:t>
      </w:r>
      <w:r w:rsidR="00C47496" w:rsidRPr="002F4565">
        <w:rPr>
          <w:lang w:val="pt-BR"/>
        </w:rPr>
        <w:t>para incentivar escolhas bem informadas</w:t>
      </w:r>
      <w:r w:rsidRPr="002F4565">
        <w:rPr>
          <w:lang w:val="pt-BR"/>
        </w:rPr>
        <w:t xml:space="preserve">. </w:t>
      </w:r>
      <w:r w:rsidR="00C47496" w:rsidRPr="002F4565">
        <w:rPr>
          <w:lang w:val="pt-BR"/>
        </w:rPr>
        <w:t xml:space="preserve">Ao </w:t>
      </w:r>
      <w:r w:rsidR="00C47496" w:rsidRPr="002F4565">
        <w:rPr>
          <w:lang w:val="pt-BR"/>
        </w:rPr>
        <w:lastRenderedPageBreak/>
        <w:t xml:space="preserve">reconhecer os vínculos estreitos </w:t>
      </w:r>
      <w:r w:rsidR="00261A8A" w:rsidRPr="002F4565">
        <w:rPr>
          <w:lang w:val="pt-BR"/>
        </w:rPr>
        <w:t>entre</w:t>
      </w:r>
      <w:r w:rsidRPr="002F4565">
        <w:rPr>
          <w:lang w:val="pt-BR"/>
        </w:rPr>
        <w:t xml:space="preserve"> </w:t>
      </w:r>
      <w:r w:rsidR="0049090C" w:rsidRPr="002F4565">
        <w:rPr>
          <w:lang w:val="pt-BR"/>
        </w:rPr>
        <w:t>alimento</w:t>
      </w:r>
      <w:r w:rsidRPr="002F4565">
        <w:rPr>
          <w:lang w:val="pt-BR"/>
        </w:rPr>
        <w:t xml:space="preserve"> </w:t>
      </w:r>
      <w:r w:rsidR="0049090C" w:rsidRPr="002F4565">
        <w:rPr>
          <w:lang w:val="pt-BR"/>
        </w:rPr>
        <w:t>e</w:t>
      </w:r>
      <w:r w:rsidRPr="002F4565">
        <w:rPr>
          <w:lang w:val="pt-BR"/>
        </w:rPr>
        <w:t xml:space="preserve"> </w:t>
      </w:r>
      <w:r w:rsidR="0049090C" w:rsidRPr="002F4565">
        <w:rPr>
          <w:lang w:val="pt-BR"/>
        </w:rPr>
        <w:t>saúde</w:t>
      </w:r>
      <w:r w:rsidRPr="002F4565">
        <w:rPr>
          <w:lang w:val="pt-BR"/>
        </w:rPr>
        <w:t xml:space="preserve">, </w:t>
      </w:r>
      <w:r w:rsidR="00C47496" w:rsidRPr="002F4565">
        <w:rPr>
          <w:lang w:val="pt-BR"/>
        </w:rPr>
        <w:t xml:space="preserve">os </w:t>
      </w:r>
      <w:r w:rsidR="0049090C" w:rsidRPr="002F4565">
        <w:rPr>
          <w:lang w:val="pt-BR"/>
        </w:rPr>
        <w:t>Estados</w:t>
      </w:r>
      <w:r w:rsidRPr="002F4565">
        <w:rPr>
          <w:lang w:val="pt-BR"/>
        </w:rPr>
        <w:t xml:space="preserve"> </w:t>
      </w:r>
      <w:r w:rsidR="00C47496" w:rsidRPr="002F4565">
        <w:rPr>
          <w:lang w:val="pt-BR"/>
        </w:rPr>
        <w:t xml:space="preserve">precisariam </w:t>
      </w:r>
      <w:r w:rsidRPr="002F4565">
        <w:rPr>
          <w:lang w:val="pt-BR"/>
        </w:rPr>
        <w:t>formula</w:t>
      </w:r>
      <w:r w:rsidR="00C47496" w:rsidRPr="002F4565">
        <w:rPr>
          <w:lang w:val="pt-BR"/>
        </w:rPr>
        <w:t>r</w:t>
      </w:r>
      <w:r w:rsidRPr="002F4565">
        <w:rPr>
          <w:lang w:val="pt-BR"/>
        </w:rPr>
        <w:t xml:space="preserve"> </w:t>
      </w:r>
      <w:r w:rsidR="0049090C" w:rsidRPr="002F4565">
        <w:rPr>
          <w:lang w:val="pt-BR"/>
        </w:rPr>
        <w:t>políticas</w:t>
      </w:r>
      <w:r w:rsidRPr="002F4565">
        <w:rPr>
          <w:lang w:val="pt-BR"/>
        </w:rPr>
        <w:t xml:space="preserve"> </w:t>
      </w:r>
      <w:r w:rsidR="0063433D" w:rsidRPr="002F4565">
        <w:rPr>
          <w:lang w:val="pt-BR"/>
        </w:rPr>
        <w:t xml:space="preserve">multisetoriais </w:t>
      </w:r>
      <w:r w:rsidR="006A31E1" w:rsidRPr="002F4565">
        <w:rPr>
          <w:lang w:val="pt-BR"/>
        </w:rPr>
        <w:t>que</w:t>
      </w:r>
      <w:r w:rsidRPr="002F4565">
        <w:rPr>
          <w:lang w:val="pt-BR"/>
        </w:rPr>
        <w:t xml:space="preserve"> </w:t>
      </w:r>
      <w:r w:rsidR="00C47496" w:rsidRPr="002F4565">
        <w:rPr>
          <w:lang w:val="pt-BR"/>
        </w:rPr>
        <w:t>afetariam positivamente</w:t>
      </w:r>
      <w:r w:rsidRPr="002F4565">
        <w:rPr>
          <w:lang w:val="pt-BR"/>
        </w:rPr>
        <w:t xml:space="preserve"> </w:t>
      </w:r>
      <w:r w:rsidR="00C47496" w:rsidRPr="002F4565">
        <w:rPr>
          <w:lang w:val="pt-BR"/>
        </w:rPr>
        <w:t>a</w:t>
      </w:r>
      <w:r w:rsidRPr="002F4565">
        <w:rPr>
          <w:lang w:val="pt-BR"/>
        </w:rPr>
        <w:t xml:space="preserve">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acessi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FB4401" w:rsidRPr="002F4565">
        <w:rPr>
          <w:lang w:val="pt-BR"/>
        </w:rPr>
        <w:t>alimentos saudáveis</w:t>
      </w:r>
      <w:r w:rsidRPr="002F4565">
        <w:rPr>
          <w:lang w:val="pt-BR"/>
        </w:rPr>
        <w:t xml:space="preserve">. </w:t>
      </w:r>
      <w:r w:rsidR="00624BDC" w:rsidRPr="002F4565">
        <w:rPr>
          <w:lang w:val="pt-BR"/>
        </w:rPr>
        <w:t>Por exemplo</w:t>
      </w:r>
      <w:r w:rsidRPr="002F4565">
        <w:rPr>
          <w:lang w:val="pt-BR"/>
        </w:rPr>
        <w:t xml:space="preserve">, </w:t>
      </w:r>
      <w:r w:rsidR="00C47496" w:rsidRPr="002F4565">
        <w:rPr>
          <w:lang w:val="pt-BR"/>
        </w:rPr>
        <w:t xml:space="preserve">os </w:t>
      </w:r>
      <w:r w:rsidR="0049090C" w:rsidRPr="002F4565">
        <w:rPr>
          <w:lang w:val="pt-BR"/>
        </w:rPr>
        <w:t>Estados</w:t>
      </w:r>
      <w:r w:rsidRPr="002F4565">
        <w:rPr>
          <w:lang w:val="pt-BR"/>
        </w:rPr>
        <w:t xml:space="preserve"> </w:t>
      </w:r>
      <w:r w:rsidR="00C47496" w:rsidRPr="002F4565">
        <w:rPr>
          <w:lang w:val="pt-BR"/>
        </w:rPr>
        <w:t xml:space="preserve">podem precisar </w:t>
      </w:r>
      <w:r w:rsidRPr="002F4565">
        <w:rPr>
          <w:lang w:val="pt-BR"/>
        </w:rPr>
        <w:t>modif</w:t>
      </w:r>
      <w:r w:rsidR="00C47496" w:rsidRPr="002F4565">
        <w:rPr>
          <w:lang w:val="pt-BR"/>
        </w:rPr>
        <w:t>icar</w:t>
      </w:r>
      <w:r w:rsidRPr="002F4565">
        <w:rPr>
          <w:lang w:val="pt-BR"/>
        </w:rPr>
        <w:t xml:space="preserve"> </w:t>
      </w:r>
      <w:r w:rsidR="00C47496" w:rsidRPr="002F4565">
        <w:rPr>
          <w:lang w:val="pt-BR"/>
        </w:rPr>
        <w:t xml:space="preserve">as </w:t>
      </w:r>
      <w:r w:rsidR="0063433D" w:rsidRPr="002F4565">
        <w:rPr>
          <w:lang w:val="pt-BR"/>
        </w:rPr>
        <w:t>políticas alimentares</w:t>
      </w:r>
      <w:r w:rsidRPr="002F4565">
        <w:rPr>
          <w:lang w:val="pt-BR"/>
        </w:rPr>
        <w:t xml:space="preserve"> </w:t>
      </w:r>
      <w:r w:rsidR="0049090C" w:rsidRPr="002F4565">
        <w:rPr>
          <w:lang w:val="pt-BR"/>
        </w:rPr>
        <w:t>e</w:t>
      </w:r>
      <w:r w:rsidRPr="002F4565">
        <w:rPr>
          <w:lang w:val="pt-BR"/>
        </w:rPr>
        <w:t xml:space="preserve"> </w:t>
      </w:r>
      <w:r w:rsidR="00C47496" w:rsidRPr="002F4565">
        <w:rPr>
          <w:lang w:val="pt-BR"/>
        </w:rPr>
        <w:t>agrícolas</w:t>
      </w:r>
      <w:r w:rsidRPr="002F4565">
        <w:rPr>
          <w:lang w:val="pt-BR"/>
        </w:rPr>
        <w:t xml:space="preserve">, </w:t>
      </w:r>
      <w:r w:rsidR="00C47496" w:rsidRPr="002F4565">
        <w:rPr>
          <w:lang w:val="pt-BR"/>
        </w:rPr>
        <w:t xml:space="preserve">de comércio </w:t>
      </w:r>
      <w:r w:rsidR="0049090C" w:rsidRPr="002F4565">
        <w:rPr>
          <w:lang w:val="pt-BR"/>
        </w:rPr>
        <w:t>e</w:t>
      </w:r>
      <w:r w:rsidRPr="002F4565">
        <w:rPr>
          <w:lang w:val="pt-BR"/>
        </w:rPr>
        <w:t xml:space="preserve"> </w:t>
      </w:r>
      <w:r w:rsidR="00F21F55" w:rsidRPr="002F4565">
        <w:rPr>
          <w:lang w:val="pt-BR"/>
        </w:rPr>
        <w:t>fiscais</w:t>
      </w:r>
      <w:r w:rsidRPr="002F4565">
        <w:rPr>
          <w:lang w:val="pt-BR"/>
        </w:rPr>
        <w:t xml:space="preserve">. </w:t>
      </w:r>
      <w:r w:rsidR="00C47496" w:rsidRPr="002F4565">
        <w:rPr>
          <w:lang w:val="pt-BR"/>
        </w:rPr>
        <w:t xml:space="preserve">Tais </w:t>
      </w:r>
      <w:r w:rsidR="0049090C" w:rsidRPr="002F4565">
        <w:rPr>
          <w:lang w:val="pt-BR"/>
        </w:rPr>
        <w:t>políticas</w:t>
      </w:r>
      <w:r w:rsidRPr="002F4565">
        <w:rPr>
          <w:lang w:val="pt-BR"/>
        </w:rPr>
        <w:t xml:space="preserve"> </w:t>
      </w:r>
      <w:r w:rsidR="00C47496" w:rsidRPr="002F4565">
        <w:rPr>
          <w:lang w:val="pt-BR"/>
        </w:rPr>
        <w:t xml:space="preserve">devem levar em </w:t>
      </w:r>
      <w:r w:rsidRPr="002F4565">
        <w:rPr>
          <w:lang w:val="pt-BR"/>
        </w:rPr>
        <w:t>consider</w:t>
      </w:r>
      <w:r w:rsidR="00F21F55" w:rsidRPr="002F4565">
        <w:rPr>
          <w:lang w:val="pt-BR"/>
        </w:rPr>
        <w:t>ação</w:t>
      </w:r>
      <w:r w:rsidRPr="002F4565">
        <w:rPr>
          <w:lang w:val="pt-BR"/>
        </w:rPr>
        <w:t xml:space="preserve"> evid</w:t>
      </w:r>
      <w:r w:rsidR="007E67D2" w:rsidRPr="002F4565">
        <w:rPr>
          <w:lang w:val="pt-BR"/>
        </w:rPr>
        <w:t>ência</w:t>
      </w:r>
      <w:r w:rsidR="00C47496" w:rsidRPr="002F4565">
        <w:rPr>
          <w:lang w:val="pt-BR"/>
        </w:rPr>
        <w:t>s epidemiológicas</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DNTs relacionadas com a dieta</w:t>
      </w:r>
      <w:r w:rsidRPr="002F4565">
        <w:rPr>
          <w:lang w:val="pt-BR"/>
        </w:rPr>
        <w:t xml:space="preserve"> </w:t>
      </w:r>
      <w:r w:rsidR="0049090C" w:rsidRPr="002F4565">
        <w:rPr>
          <w:lang w:val="pt-BR"/>
        </w:rPr>
        <w:t>e</w:t>
      </w:r>
      <w:r w:rsidRPr="002F4565">
        <w:rPr>
          <w:lang w:val="pt-BR"/>
        </w:rPr>
        <w:t xml:space="preserve"> </w:t>
      </w:r>
      <w:r w:rsidR="00C47496" w:rsidRPr="002F4565">
        <w:rPr>
          <w:lang w:val="pt-BR"/>
        </w:rPr>
        <w:t xml:space="preserve">devem ser </w:t>
      </w:r>
      <w:r w:rsidRPr="002F4565">
        <w:rPr>
          <w:lang w:val="pt-BR"/>
        </w:rPr>
        <w:t>impl</w:t>
      </w:r>
      <w:r w:rsidR="0063433D" w:rsidRPr="002F4565">
        <w:rPr>
          <w:lang w:val="pt-BR"/>
        </w:rPr>
        <w:t>a</w:t>
      </w:r>
      <w:r w:rsidRPr="002F4565">
        <w:rPr>
          <w:lang w:val="pt-BR"/>
        </w:rPr>
        <w:t>nt</w:t>
      </w:r>
      <w:r w:rsidR="00C47496" w:rsidRPr="002F4565">
        <w:rPr>
          <w:lang w:val="pt-BR"/>
        </w:rPr>
        <w:t>adas</w:t>
      </w:r>
      <w:r w:rsidRPr="002F4565">
        <w:rPr>
          <w:lang w:val="pt-BR"/>
        </w:rPr>
        <w:t xml:space="preserve"> </w:t>
      </w:r>
      <w:r w:rsidR="0049090C" w:rsidRPr="002F4565">
        <w:rPr>
          <w:lang w:val="pt-BR"/>
        </w:rPr>
        <w:t>e</w:t>
      </w:r>
      <w:r w:rsidRPr="002F4565">
        <w:rPr>
          <w:lang w:val="pt-BR"/>
        </w:rPr>
        <w:t xml:space="preserve"> monitor</w:t>
      </w:r>
      <w:r w:rsidR="00C47496" w:rsidRPr="002F4565">
        <w:rPr>
          <w:lang w:val="pt-BR"/>
        </w:rPr>
        <w:t>adas</w:t>
      </w:r>
      <w:r w:rsidRPr="002F4565">
        <w:rPr>
          <w:lang w:val="pt-BR"/>
        </w:rPr>
        <w:t xml:space="preserve"> </w:t>
      </w:r>
      <w:r w:rsidR="00C47496" w:rsidRPr="002F4565">
        <w:rPr>
          <w:lang w:val="pt-BR"/>
        </w:rPr>
        <w:t>por meio de indicadores</w:t>
      </w:r>
      <w:r w:rsidRPr="002F4565">
        <w:rPr>
          <w:lang w:val="pt-BR"/>
        </w:rPr>
        <w:t xml:space="preserve"> </w:t>
      </w:r>
      <w:r w:rsidR="0049090C" w:rsidRPr="002F4565">
        <w:rPr>
          <w:lang w:val="pt-BR"/>
        </w:rPr>
        <w:t>e</w:t>
      </w:r>
      <w:r w:rsidRPr="002F4565">
        <w:rPr>
          <w:lang w:val="pt-BR"/>
        </w:rPr>
        <w:t xml:space="preserve"> </w:t>
      </w:r>
      <w:r w:rsidR="00C47496" w:rsidRPr="002F4565">
        <w:rPr>
          <w:lang w:val="pt-BR"/>
        </w:rPr>
        <w:t>padrões de referência</w:t>
      </w:r>
      <w:r w:rsidRPr="002F4565">
        <w:rPr>
          <w:lang w:val="pt-BR"/>
        </w:rPr>
        <w:t xml:space="preserve">. </w:t>
      </w:r>
      <w:r w:rsidR="00FB4DE4" w:rsidRPr="002F4565">
        <w:rPr>
          <w:lang w:val="pt-BR"/>
        </w:rPr>
        <w:t>No entanto</w:t>
      </w:r>
      <w:r w:rsidRPr="002F4565">
        <w:rPr>
          <w:lang w:val="pt-BR"/>
        </w:rPr>
        <w:t xml:space="preserve">, </w:t>
      </w:r>
      <w:r w:rsidR="00C47496" w:rsidRPr="002F4565">
        <w:rPr>
          <w:lang w:val="pt-BR"/>
        </w:rPr>
        <w:t xml:space="preserve">os </w:t>
      </w:r>
      <w:r w:rsidR="0049090C" w:rsidRPr="002F4565">
        <w:rPr>
          <w:lang w:val="pt-BR"/>
        </w:rPr>
        <w:t>Estados</w:t>
      </w:r>
      <w:r w:rsidRPr="002F4565">
        <w:rPr>
          <w:lang w:val="pt-BR"/>
        </w:rPr>
        <w:t xml:space="preserve"> </w:t>
      </w:r>
      <w:r w:rsidR="00C47496" w:rsidRPr="002F4565">
        <w:rPr>
          <w:lang w:val="pt-BR"/>
        </w:rPr>
        <w:t xml:space="preserve">devem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C47496" w:rsidRPr="002F4565">
        <w:rPr>
          <w:lang w:val="pt-BR"/>
        </w:rPr>
        <w:t xml:space="preserve">as </w:t>
      </w:r>
      <w:r w:rsidR="00F21F55" w:rsidRPr="002F4565">
        <w:rPr>
          <w:lang w:val="pt-BR"/>
        </w:rPr>
        <w:t>regulamentações</w:t>
      </w:r>
      <w:r w:rsidRPr="002F4565">
        <w:rPr>
          <w:lang w:val="pt-BR"/>
        </w:rPr>
        <w:t xml:space="preserve"> </w:t>
      </w:r>
      <w:r w:rsidR="005A25F5" w:rsidRPr="002F4565">
        <w:rPr>
          <w:lang w:val="pt-BR"/>
        </w:rPr>
        <w:t>não</w:t>
      </w:r>
      <w:r w:rsidRPr="002F4565">
        <w:rPr>
          <w:lang w:val="pt-BR"/>
        </w:rPr>
        <w:t xml:space="preserve"> </w:t>
      </w:r>
      <w:r w:rsidR="00C47496" w:rsidRPr="002F4565">
        <w:rPr>
          <w:lang w:val="pt-BR"/>
        </w:rPr>
        <w:t>prejudiquem indevidamente as indústrias de pequena escala</w:t>
      </w:r>
      <w:r w:rsidRPr="002F4565">
        <w:rPr>
          <w:lang w:val="pt-BR"/>
        </w:rPr>
        <w:t xml:space="preserve">. </w:t>
      </w:r>
      <w:r w:rsidR="00C47496" w:rsidRPr="002F4565">
        <w:rPr>
          <w:lang w:val="pt-BR"/>
        </w:rPr>
        <w:t xml:space="preserve">Embora seja </w:t>
      </w:r>
      <w:r w:rsidRPr="002F4565">
        <w:rPr>
          <w:lang w:val="pt-BR"/>
        </w:rPr>
        <w:t>nece</w:t>
      </w:r>
      <w:r w:rsidR="00C47496" w:rsidRPr="002F4565">
        <w:rPr>
          <w:lang w:val="pt-BR"/>
        </w:rPr>
        <w:t>ssário</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C47496" w:rsidRPr="002F4565">
        <w:rPr>
          <w:lang w:val="pt-BR"/>
        </w:rPr>
        <w:t xml:space="preserve">os </w:t>
      </w:r>
      <w:r w:rsidR="00261A8A" w:rsidRPr="002F4565">
        <w:rPr>
          <w:lang w:val="pt-BR"/>
        </w:rPr>
        <w:t>alimentos</w:t>
      </w:r>
      <w:r w:rsidRPr="002F4565">
        <w:rPr>
          <w:lang w:val="pt-BR"/>
        </w:rPr>
        <w:t xml:space="preserve"> </w:t>
      </w:r>
      <w:r w:rsidR="00C47496" w:rsidRPr="002F4565">
        <w:rPr>
          <w:lang w:val="pt-BR"/>
        </w:rPr>
        <w:t>produzidos</w:t>
      </w:r>
      <w:r w:rsidRPr="002F4565">
        <w:rPr>
          <w:lang w:val="pt-BR"/>
        </w:rPr>
        <w:t xml:space="preserve"> </w:t>
      </w:r>
      <w:r w:rsidR="00C47496" w:rsidRPr="002F4565">
        <w:rPr>
          <w:lang w:val="pt-BR"/>
        </w:rPr>
        <w:t>pelas indústrias de pequena escala</w:t>
      </w:r>
      <w:r w:rsidRPr="002F4565">
        <w:rPr>
          <w:lang w:val="pt-BR"/>
        </w:rPr>
        <w:t xml:space="preserve"> </w:t>
      </w:r>
      <w:r w:rsidR="00C47496" w:rsidRPr="002F4565">
        <w:rPr>
          <w:lang w:val="pt-BR"/>
        </w:rPr>
        <w:t xml:space="preserve">não serão pouco </w:t>
      </w:r>
      <w:r w:rsidR="006A31E1" w:rsidRPr="002F4565">
        <w:rPr>
          <w:lang w:val="pt-BR"/>
        </w:rPr>
        <w:t>saudáveis</w:t>
      </w:r>
      <w:r w:rsidRPr="002F4565">
        <w:rPr>
          <w:lang w:val="pt-BR"/>
        </w:rPr>
        <w:t xml:space="preserve"> </w:t>
      </w:r>
      <w:r w:rsidR="00C47496" w:rsidRPr="002F4565">
        <w:rPr>
          <w:lang w:val="pt-BR"/>
        </w:rPr>
        <w:t>nem inseguros</w:t>
      </w:r>
      <w:r w:rsidRPr="002F4565">
        <w:rPr>
          <w:lang w:val="pt-BR"/>
        </w:rPr>
        <w:t xml:space="preserve">, </w:t>
      </w:r>
      <w:r w:rsidR="00C47496" w:rsidRPr="002F4565">
        <w:rPr>
          <w:lang w:val="pt-BR"/>
        </w:rPr>
        <w:t>os requisitos</w:t>
      </w:r>
      <w:r w:rsidRPr="002F4565">
        <w:rPr>
          <w:lang w:val="pt-BR"/>
        </w:rPr>
        <w:t xml:space="preserve"> </w:t>
      </w:r>
      <w:r w:rsidR="00C47496" w:rsidRPr="002F4565">
        <w:rPr>
          <w:lang w:val="pt-BR"/>
        </w:rPr>
        <w:t xml:space="preserve">regulatórios poderão onerá-las de forma </w:t>
      </w:r>
      <w:r w:rsidRPr="002F4565">
        <w:rPr>
          <w:lang w:val="pt-BR"/>
        </w:rPr>
        <w:t>d</w:t>
      </w:r>
      <w:r w:rsidR="00C47496" w:rsidRPr="002F4565">
        <w:rPr>
          <w:lang w:val="pt-BR"/>
        </w:rPr>
        <w:t>e</w:t>
      </w:r>
      <w:r w:rsidRPr="002F4565">
        <w:rPr>
          <w:lang w:val="pt-BR"/>
        </w:rPr>
        <w:t>spropor</w:t>
      </w:r>
      <w:r w:rsidR="00C47496" w:rsidRPr="002F4565">
        <w:rPr>
          <w:lang w:val="pt-BR"/>
        </w:rPr>
        <w:t>cional</w:t>
      </w:r>
      <w:r w:rsidRPr="002F4565">
        <w:rPr>
          <w:lang w:val="pt-BR"/>
        </w:rPr>
        <w:t xml:space="preserve">. </w:t>
      </w:r>
      <w:r w:rsidR="002E1AA7" w:rsidRPr="002F4565">
        <w:rPr>
          <w:lang w:val="pt-BR"/>
        </w:rPr>
        <w:t>Abordagens alternativas</w:t>
      </w:r>
      <w:r w:rsidRPr="002F4565">
        <w:rPr>
          <w:lang w:val="pt-BR"/>
        </w:rPr>
        <w:t xml:space="preserve">, </w:t>
      </w:r>
      <w:r w:rsidR="002E1AA7" w:rsidRPr="002F4565">
        <w:rPr>
          <w:lang w:val="pt-BR"/>
        </w:rPr>
        <w:t xml:space="preserve">como a </w:t>
      </w:r>
      <w:r w:rsidRPr="002F4565">
        <w:rPr>
          <w:lang w:val="pt-BR"/>
        </w:rPr>
        <w:t>educ</w:t>
      </w:r>
      <w:r w:rsidR="00F21F55" w:rsidRPr="002F4565">
        <w:rPr>
          <w:lang w:val="pt-BR"/>
        </w:rPr>
        <w:t>ação</w:t>
      </w:r>
      <w:r w:rsidRPr="002F4565">
        <w:rPr>
          <w:lang w:val="pt-BR"/>
        </w:rPr>
        <w:t xml:space="preserve"> </w:t>
      </w:r>
      <w:r w:rsidR="002E1AA7" w:rsidRPr="002F4565">
        <w:rPr>
          <w:lang w:val="pt-BR"/>
        </w:rPr>
        <w:t>comunitária e entre pares de consumidores</w:t>
      </w:r>
      <w:r w:rsidRPr="002F4565">
        <w:rPr>
          <w:lang w:val="pt-BR"/>
        </w:rPr>
        <w:t xml:space="preserve"> </w:t>
      </w:r>
      <w:r w:rsidR="00F21F55" w:rsidRPr="002F4565">
        <w:rPr>
          <w:lang w:val="pt-BR"/>
        </w:rPr>
        <w:t>assim como</w:t>
      </w:r>
      <w:r w:rsidRPr="002F4565">
        <w:rPr>
          <w:lang w:val="pt-BR"/>
        </w:rPr>
        <w:t xml:space="preserve"> </w:t>
      </w:r>
      <w:r w:rsidR="002E1AA7" w:rsidRPr="002F4565">
        <w:rPr>
          <w:lang w:val="pt-BR"/>
        </w:rPr>
        <w:t xml:space="preserve">fabricantes de </w:t>
      </w:r>
      <w:r w:rsidR="0049090C" w:rsidRPr="002F4565">
        <w:rPr>
          <w:lang w:val="pt-BR"/>
        </w:rPr>
        <w:t>alimento</w:t>
      </w:r>
      <w:r w:rsidR="002E1AA7" w:rsidRPr="002F4565">
        <w:rPr>
          <w:lang w:val="pt-BR"/>
        </w:rPr>
        <w:t xml:space="preserve">s </w:t>
      </w:r>
      <w:r w:rsidR="003053AE" w:rsidRPr="002F4565">
        <w:rPr>
          <w:lang w:val="pt-BR"/>
        </w:rPr>
        <w:t>de</w:t>
      </w:r>
      <w:r w:rsidR="002E1AA7" w:rsidRPr="002F4565">
        <w:rPr>
          <w:lang w:val="pt-BR"/>
        </w:rPr>
        <w:t xml:space="preserve"> pequena escala</w:t>
      </w:r>
      <w:r w:rsidRPr="002F4565">
        <w:rPr>
          <w:lang w:val="pt-BR"/>
        </w:rPr>
        <w:t xml:space="preserve">, </w:t>
      </w:r>
      <w:r w:rsidR="002E1AA7" w:rsidRPr="002F4565">
        <w:rPr>
          <w:lang w:val="pt-BR"/>
        </w:rPr>
        <w:t xml:space="preserve">podem ser mais eficazes ao persuadi-los a </w:t>
      </w:r>
      <w:r w:rsidRPr="002F4565">
        <w:rPr>
          <w:lang w:val="pt-BR"/>
        </w:rPr>
        <w:t>produ</w:t>
      </w:r>
      <w:r w:rsidR="002E1AA7" w:rsidRPr="002F4565">
        <w:rPr>
          <w:lang w:val="pt-BR"/>
        </w:rPr>
        <w:t xml:space="preserve">zir </w:t>
      </w:r>
      <w:r w:rsidR="00261A8A" w:rsidRPr="002F4565">
        <w:rPr>
          <w:lang w:val="pt-BR"/>
        </w:rPr>
        <w:t>alimentos</w:t>
      </w:r>
      <w:r w:rsidR="002E1AA7" w:rsidRPr="002F4565">
        <w:rPr>
          <w:lang w:val="pt-BR"/>
        </w:rPr>
        <w:t xml:space="preserve"> mais saudáveis</w:t>
      </w:r>
      <w:r w:rsidRPr="002F4565">
        <w:rPr>
          <w:lang w:val="pt-BR"/>
        </w:rPr>
        <w:t xml:space="preserve">. </w:t>
      </w:r>
      <w:r w:rsidR="00624BDC" w:rsidRPr="002F4565">
        <w:rPr>
          <w:lang w:val="pt-BR"/>
        </w:rPr>
        <w:t>Por exemplo</w:t>
      </w:r>
      <w:r w:rsidRPr="002F4565">
        <w:rPr>
          <w:lang w:val="pt-BR"/>
        </w:rPr>
        <w:t xml:space="preserve">, </w:t>
      </w:r>
      <w:r w:rsidR="002E1AA7" w:rsidRPr="002F4565">
        <w:rPr>
          <w:lang w:val="pt-BR"/>
        </w:rPr>
        <w:t xml:space="preserve">alguns </w:t>
      </w:r>
      <w:r w:rsidR="0049090C" w:rsidRPr="002F4565">
        <w:rPr>
          <w:lang w:val="pt-BR"/>
        </w:rPr>
        <w:t>Estados</w:t>
      </w:r>
      <w:r w:rsidRPr="002F4565">
        <w:rPr>
          <w:lang w:val="pt-BR"/>
        </w:rPr>
        <w:t xml:space="preserve"> </w:t>
      </w:r>
      <w:r w:rsidR="002E1AA7" w:rsidRPr="002F4565">
        <w:rPr>
          <w:lang w:val="pt-BR"/>
        </w:rPr>
        <w:t>usaram com sucesso os modelos de “</w:t>
      </w:r>
      <w:r w:rsidRPr="002F4565">
        <w:rPr>
          <w:lang w:val="pt-BR"/>
        </w:rPr>
        <w:t>educ</w:t>
      </w:r>
      <w:r w:rsidR="00F21F55" w:rsidRPr="002F4565">
        <w:rPr>
          <w:lang w:val="pt-BR"/>
        </w:rPr>
        <w:t>ação</w:t>
      </w:r>
      <w:r w:rsidRPr="002F4565">
        <w:rPr>
          <w:lang w:val="pt-BR"/>
        </w:rPr>
        <w:t xml:space="preserve"> </w:t>
      </w:r>
      <w:r w:rsidR="002E1AA7" w:rsidRPr="002F4565">
        <w:rPr>
          <w:lang w:val="pt-BR"/>
        </w:rPr>
        <w:t xml:space="preserve">entre pares” ao fazer que os vendedores de comida de rua substituíssem os </w:t>
      </w:r>
      <w:r w:rsidR="003F41C2" w:rsidRPr="002F4565">
        <w:rPr>
          <w:lang w:val="pt-BR"/>
        </w:rPr>
        <w:t>óleos vegetais</w:t>
      </w:r>
      <w:r w:rsidRPr="002F4565">
        <w:rPr>
          <w:lang w:val="pt-BR"/>
        </w:rPr>
        <w:t xml:space="preserve"> </w:t>
      </w:r>
      <w:r w:rsidR="002E1AA7" w:rsidRPr="002F4565">
        <w:rPr>
          <w:lang w:val="pt-BR"/>
        </w:rPr>
        <w:t xml:space="preserve">prejudiciais </w:t>
      </w:r>
      <w:r w:rsidR="003053AE" w:rsidRPr="002F4565">
        <w:rPr>
          <w:lang w:val="pt-BR"/>
        </w:rPr>
        <w:t xml:space="preserve">à saúde </w:t>
      </w:r>
      <w:r w:rsidR="002E1AA7" w:rsidRPr="002F4565">
        <w:rPr>
          <w:lang w:val="pt-BR"/>
        </w:rPr>
        <w:t xml:space="preserve">por </w:t>
      </w:r>
      <w:r w:rsidR="00F21F55" w:rsidRPr="002F4565">
        <w:rPr>
          <w:lang w:val="pt-BR"/>
        </w:rPr>
        <w:t>opções</w:t>
      </w:r>
      <w:r w:rsidR="002E1AA7" w:rsidRPr="002F4565">
        <w:rPr>
          <w:lang w:val="pt-BR"/>
        </w:rPr>
        <w:t xml:space="preserve"> mais saudáveis</w:t>
      </w:r>
      <w:r w:rsidRPr="002F4565">
        <w:rPr>
          <w:lang w:val="pt-BR"/>
        </w:rPr>
        <w:t>.</w:t>
      </w:r>
    </w:p>
    <w:p w:rsidR="00115B91" w:rsidRPr="002F4565" w:rsidRDefault="00115B91" w:rsidP="0051636A">
      <w:pPr>
        <w:spacing w:before="120" w:after="0" w:line="240" w:lineRule="auto"/>
        <w:rPr>
          <w:lang w:val="pt-BR"/>
        </w:rPr>
      </w:pPr>
      <w:r w:rsidRPr="002F4565">
        <w:rPr>
          <w:lang w:val="pt-BR"/>
        </w:rPr>
        <w:t>A. Inform</w:t>
      </w:r>
      <w:r w:rsidR="00F21F55" w:rsidRPr="002F4565">
        <w:rPr>
          <w:lang w:val="pt-BR"/>
        </w:rPr>
        <w:t>ação</w:t>
      </w:r>
      <w:r w:rsidRPr="002F4565">
        <w:rPr>
          <w:lang w:val="pt-BR"/>
        </w:rPr>
        <w:t xml:space="preserve"> </w:t>
      </w:r>
      <w:r w:rsidR="0049090C" w:rsidRPr="002F4565">
        <w:rPr>
          <w:lang w:val="pt-BR"/>
        </w:rPr>
        <w:t>e</w:t>
      </w:r>
      <w:r w:rsidRPr="002F4565">
        <w:rPr>
          <w:lang w:val="pt-BR"/>
        </w:rPr>
        <w:t xml:space="preserve"> </w:t>
      </w:r>
      <w:proofErr w:type="gramStart"/>
      <w:r w:rsidR="00F21F55" w:rsidRPr="002F4565">
        <w:rPr>
          <w:lang w:val="pt-BR"/>
        </w:rPr>
        <w:t>conscientização</w:t>
      </w:r>
      <w:proofErr w:type="gramEnd"/>
      <w:r w:rsidR="003053AE"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17. </w:t>
      </w:r>
      <w:r w:rsidR="002E1AA7" w:rsidRPr="002F4565">
        <w:rPr>
          <w:lang w:val="pt-BR"/>
        </w:rPr>
        <w:t xml:space="preserve">Como </w:t>
      </w:r>
      <w:proofErr w:type="gramStart"/>
      <w:r w:rsidR="002E1AA7" w:rsidRPr="002F4565">
        <w:rPr>
          <w:lang w:val="pt-BR"/>
        </w:rPr>
        <w:t xml:space="preserve">medida para </w:t>
      </w:r>
      <w:r w:rsidR="00413531" w:rsidRPr="002F4565">
        <w:rPr>
          <w:lang w:val="pt-BR"/>
        </w:rPr>
        <w:t xml:space="preserve">a </w:t>
      </w:r>
      <w:r w:rsidR="002E1AA7" w:rsidRPr="002F4565">
        <w:rPr>
          <w:lang w:val="pt-BR"/>
        </w:rPr>
        <w:t>concretiza</w:t>
      </w:r>
      <w:r w:rsidR="00413531" w:rsidRPr="002F4565">
        <w:rPr>
          <w:lang w:val="pt-BR"/>
        </w:rPr>
        <w:t xml:space="preserve">ção </w:t>
      </w:r>
      <w:r w:rsidR="002E1AA7" w:rsidRPr="002F4565">
        <w:rPr>
          <w:lang w:val="pt-BR"/>
        </w:rPr>
        <w:t>progressiva</w:t>
      </w:r>
      <w:r w:rsidR="00413531" w:rsidRPr="002F4565">
        <w:rPr>
          <w:lang w:val="pt-BR"/>
        </w:rPr>
        <w:t xml:space="preserve"> d</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2E1AA7"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 formular</w:t>
      </w:r>
      <w:proofErr w:type="gramEnd"/>
      <w:r w:rsidRPr="002F4565">
        <w:rPr>
          <w:lang w:val="pt-BR"/>
        </w:rPr>
        <w:t xml:space="preserve"> </w:t>
      </w:r>
      <w:r w:rsidR="0049090C" w:rsidRPr="002F4565">
        <w:rPr>
          <w:lang w:val="pt-BR"/>
        </w:rPr>
        <w:t>e</w:t>
      </w:r>
      <w:r w:rsidRPr="002F4565">
        <w:rPr>
          <w:lang w:val="pt-BR"/>
        </w:rPr>
        <w:t xml:space="preserve"> </w:t>
      </w:r>
      <w:r w:rsidR="002E1AA7" w:rsidRPr="002F4565">
        <w:rPr>
          <w:lang w:val="pt-BR"/>
        </w:rPr>
        <w:t>atualizar</w:t>
      </w:r>
      <w:r w:rsidRPr="002F4565">
        <w:rPr>
          <w:lang w:val="pt-BR"/>
        </w:rPr>
        <w:t xml:space="preserve"> </w:t>
      </w:r>
      <w:r w:rsidR="002E1AA7" w:rsidRPr="002F4565">
        <w:rPr>
          <w:lang w:val="pt-BR"/>
        </w:rPr>
        <w:t>regularmente as diretrizes</w:t>
      </w:r>
      <w:r w:rsidRPr="002F4565">
        <w:rPr>
          <w:lang w:val="pt-BR"/>
        </w:rPr>
        <w:t xml:space="preserve"> </w:t>
      </w:r>
      <w:r w:rsidR="002E1AA7" w:rsidRPr="002F4565">
        <w:rPr>
          <w:lang w:val="pt-BR"/>
        </w:rPr>
        <w:t xml:space="preserve">sobre alimentos e nutrição para uma </w:t>
      </w:r>
      <w:r w:rsidR="00624BDC" w:rsidRPr="002F4565">
        <w:rPr>
          <w:lang w:val="pt-BR"/>
        </w:rPr>
        <w:t>dieta saudável</w:t>
      </w:r>
      <w:r w:rsidRPr="002F4565">
        <w:rPr>
          <w:lang w:val="pt-BR"/>
        </w:rPr>
        <w:t xml:space="preserve"> </w:t>
      </w:r>
      <w:r w:rsidR="002E1AA7" w:rsidRPr="002F4565">
        <w:rPr>
          <w:lang w:val="pt-BR"/>
        </w:rPr>
        <w:t>orientada para diferentes</w:t>
      </w:r>
      <w:r w:rsidRPr="002F4565">
        <w:rPr>
          <w:lang w:val="pt-BR"/>
        </w:rPr>
        <w:t xml:space="preserve"> </w:t>
      </w:r>
      <w:r w:rsidR="00802E44" w:rsidRPr="002F4565">
        <w:rPr>
          <w:lang w:val="pt-BR"/>
        </w:rPr>
        <w:t>grupos</w:t>
      </w:r>
      <w:r w:rsidRPr="002F4565">
        <w:rPr>
          <w:lang w:val="pt-BR"/>
        </w:rPr>
        <w:t>, parti</w:t>
      </w:r>
      <w:r w:rsidR="00FB4DE4" w:rsidRPr="002F4565">
        <w:rPr>
          <w:lang w:val="pt-BR"/>
        </w:rPr>
        <w:t>cularmente</w:t>
      </w:r>
      <w:r w:rsidRPr="002F4565">
        <w:rPr>
          <w:lang w:val="pt-BR"/>
        </w:rPr>
        <w:t xml:space="preserve"> </w:t>
      </w:r>
      <w:r w:rsidR="002E1AA7" w:rsidRPr="002F4565">
        <w:rPr>
          <w:lang w:val="pt-BR"/>
        </w:rPr>
        <w:t xml:space="preserve">para </w:t>
      </w:r>
      <w:r w:rsidR="00802E44" w:rsidRPr="002F4565">
        <w:rPr>
          <w:lang w:val="pt-BR"/>
        </w:rPr>
        <w:t>grupos vulneráveis</w:t>
      </w:r>
      <w:r w:rsidR="002E1AA7" w:rsidRPr="002F4565">
        <w:rPr>
          <w:lang w:val="pt-BR"/>
        </w:rPr>
        <w:t xml:space="preserve"> como </w:t>
      </w:r>
      <w:r w:rsidR="00802E44" w:rsidRPr="002F4565">
        <w:rPr>
          <w:lang w:val="pt-BR"/>
        </w:rPr>
        <w:t>crianças</w:t>
      </w:r>
      <w:r w:rsidRPr="002F4565">
        <w:rPr>
          <w:lang w:val="pt-BR"/>
        </w:rPr>
        <w:t xml:space="preserve">, </w:t>
      </w:r>
      <w:r w:rsidR="00802E44" w:rsidRPr="002F4565">
        <w:rPr>
          <w:lang w:val="pt-BR"/>
        </w:rPr>
        <w:t>mulheres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grupos de baixa renda</w:t>
      </w:r>
      <w:r w:rsidRPr="002F4565">
        <w:rPr>
          <w:lang w:val="pt-BR"/>
        </w:rPr>
        <w:t>.</w:t>
      </w:r>
    </w:p>
    <w:p w:rsidR="00115B91" w:rsidRPr="002F4565" w:rsidRDefault="002E1AA7" w:rsidP="0051636A">
      <w:pPr>
        <w:spacing w:before="120" w:after="0" w:line="240" w:lineRule="auto"/>
        <w:rPr>
          <w:lang w:val="pt-BR"/>
        </w:rPr>
      </w:pPr>
      <w:r w:rsidRPr="002F4565">
        <w:rPr>
          <w:lang w:val="pt-BR"/>
        </w:rPr>
        <w:t>As diretrizes</w:t>
      </w:r>
      <w:r w:rsidR="00115B91" w:rsidRPr="002F4565">
        <w:rPr>
          <w:lang w:val="pt-BR"/>
        </w:rPr>
        <w:t xml:space="preserve"> </w:t>
      </w:r>
      <w:r w:rsidRPr="002F4565">
        <w:rPr>
          <w:lang w:val="pt-BR"/>
        </w:rPr>
        <w:t>devem ser</w:t>
      </w:r>
      <w:r w:rsidR="00115B91" w:rsidRPr="002F4565">
        <w:rPr>
          <w:lang w:val="pt-BR"/>
        </w:rPr>
        <w:t xml:space="preserve"> </w:t>
      </w:r>
      <w:r w:rsidRPr="002F4565">
        <w:rPr>
          <w:lang w:val="pt-BR"/>
        </w:rPr>
        <w:t xml:space="preserve">formuladas com base em </w:t>
      </w:r>
      <w:r w:rsidR="00115B91" w:rsidRPr="002F4565">
        <w:rPr>
          <w:lang w:val="pt-BR"/>
        </w:rPr>
        <w:t>evid</w:t>
      </w:r>
      <w:r w:rsidR="007E67D2" w:rsidRPr="002F4565">
        <w:rPr>
          <w:lang w:val="pt-BR"/>
        </w:rPr>
        <w:t>ência</w:t>
      </w:r>
      <w:r w:rsidRPr="002F4565">
        <w:rPr>
          <w:lang w:val="pt-BR"/>
        </w:rPr>
        <w:t>s científicas</w:t>
      </w:r>
      <w:r w:rsidR="00115B91" w:rsidRPr="002F4565">
        <w:rPr>
          <w:lang w:val="pt-BR"/>
        </w:rPr>
        <w:t xml:space="preserve"> </w:t>
      </w:r>
      <w:r w:rsidR="0049090C" w:rsidRPr="002F4565">
        <w:rPr>
          <w:lang w:val="pt-BR"/>
        </w:rPr>
        <w:t>e</w:t>
      </w:r>
      <w:r w:rsidR="00115B91" w:rsidRPr="002F4565">
        <w:rPr>
          <w:lang w:val="pt-BR"/>
        </w:rPr>
        <w:t xml:space="preserve"> </w:t>
      </w:r>
      <w:r w:rsidR="00F21F55" w:rsidRPr="002F4565">
        <w:rPr>
          <w:lang w:val="pt-BR"/>
        </w:rPr>
        <w:t>com</w:t>
      </w:r>
      <w:r w:rsidR="00115B91" w:rsidRPr="002F4565">
        <w:rPr>
          <w:lang w:val="pt-BR"/>
        </w:rPr>
        <w:t xml:space="preserve"> </w:t>
      </w:r>
      <w:r w:rsidRPr="002F4565">
        <w:rPr>
          <w:lang w:val="pt-BR"/>
        </w:rPr>
        <w:t>a</w:t>
      </w:r>
      <w:r w:rsidR="00115B91" w:rsidRPr="002F4565">
        <w:rPr>
          <w:lang w:val="pt-BR"/>
        </w:rPr>
        <w:t xml:space="preserve"> particip</w:t>
      </w:r>
      <w:r w:rsidR="00F21F55" w:rsidRPr="002F4565">
        <w:rPr>
          <w:lang w:val="pt-BR"/>
        </w:rPr>
        <w:t>ação</w:t>
      </w:r>
      <w:r w:rsidR="00115B91" w:rsidRPr="002F4565">
        <w:rPr>
          <w:lang w:val="pt-BR"/>
        </w:rPr>
        <w:t xml:space="preserve"> </w:t>
      </w:r>
      <w:r w:rsidR="0049090C" w:rsidRPr="002F4565">
        <w:rPr>
          <w:lang w:val="pt-BR"/>
        </w:rPr>
        <w:t>d</w:t>
      </w:r>
      <w:r w:rsidRPr="002F4565">
        <w:rPr>
          <w:lang w:val="pt-BR"/>
        </w:rPr>
        <w:t>a</w:t>
      </w:r>
      <w:r w:rsidR="00115B91" w:rsidRPr="002F4565">
        <w:rPr>
          <w:lang w:val="pt-BR"/>
        </w:rPr>
        <w:t xml:space="preserve"> </w:t>
      </w:r>
      <w:r w:rsidRPr="002F4565">
        <w:rPr>
          <w:lang w:val="pt-BR"/>
        </w:rPr>
        <w:t>comunidade</w:t>
      </w:r>
      <w:r w:rsidR="00115B91" w:rsidRPr="002F4565">
        <w:rPr>
          <w:lang w:val="pt-BR"/>
        </w:rPr>
        <w:t>, organiz</w:t>
      </w:r>
      <w:r w:rsidR="00F21F55" w:rsidRPr="002F4565">
        <w:rPr>
          <w:lang w:val="pt-BR"/>
        </w:rPr>
        <w:t>ações</w:t>
      </w:r>
      <w:r w:rsidR="00115B91" w:rsidRPr="002F4565">
        <w:rPr>
          <w:lang w:val="pt-BR"/>
        </w:rPr>
        <w:t xml:space="preserve"> </w:t>
      </w:r>
      <w:r w:rsidRPr="002F4565">
        <w:rPr>
          <w:lang w:val="pt-BR"/>
        </w:rPr>
        <w:t xml:space="preserve">da sociedade civil </w:t>
      </w:r>
      <w:r w:rsidR="0049090C" w:rsidRPr="002F4565">
        <w:rPr>
          <w:lang w:val="pt-BR"/>
        </w:rPr>
        <w:t>e</w:t>
      </w:r>
      <w:r w:rsidR="00115B91" w:rsidRPr="002F4565">
        <w:rPr>
          <w:lang w:val="pt-BR"/>
        </w:rPr>
        <w:t xml:space="preserve"> </w:t>
      </w:r>
      <w:r w:rsidR="003F41C2" w:rsidRPr="002F4565">
        <w:rPr>
          <w:lang w:val="pt-BR"/>
        </w:rPr>
        <w:t>outros</w:t>
      </w:r>
      <w:r w:rsidR="00115B91" w:rsidRPr="002F4565">
        <w:rPr>
          <w:lang w:val="pt-BR"/>
        </w:rPr>
        <w:t xml:space="preserve"> </w:t>
      </w:r>
      <w:r w:rsidR="00115B91" w:rsidRPr="002F4565">
        <w:rPr>
          <w:i/>
          <w:lang w:val="pt-BR"/>
        </w:rPr>
        <w:t>stakeholders</w:t>
      </w:r>
      <w:r w:rsidR="00115B91" w:rsidRPr="002F4565">
        <w:rPr>
          <w:lang w:val="pt-BR"/>
        </w:rPr>
        <w:t xml:space="preserve">. </w:t>
      </w:r>
      <w:r w:rsidRPr="002F4565">
        <w:rPr>
          <w:lang w:val="pt-BR"/>
        </w:rPr>
        <w:t>Para ser eficaz</w:t>
      </w:r>
      <w:r w:rsidR="00115B91" w:rsidRPr="002F4565">
        <w:rPr>
          <w:lang w:val="pt-BR"/>
        </w:rPr>
        <w:t xml:space="preserve">, </w:t>
      </w:r>
      <w:r w:rsidRPr="002F4565">
        <w:rPr>
          <w:lang w:val="pt-BR"/>
        </w:rPr>
        <w:t xml:space="preserve">a </w:t>
      </w:r>
      <w:r w:rsidR="00115B91" w:rsidRPr="002F4565">
        <w:rPr>
          <w:lang w:val="pt-BR"/>
        </w:rPr>
        <w:t>dissemin</w:t>
      </w:r>
      <w:r w:rsidR="00F21F55" w:rsidRPr="002F4565">
        <w:rPr>
          <w:lang w:val="pt-BR"/>
        </w:rPr>
        <w:t>ação</w:t>
      </w:r>
      <w:r w:rsidR="00115B91" w:rsidRPr="002F4565">
        <w:rPr>
          <w:lang w:val="pt-BR"/>
        </w:rPr>
        <w:t xml:space="preserve"> </w:t>
      </w:r>
      <w:r w:rsidR="0049090C" w:rsidRPr="002F4565">
        <w:rPr>
          <w:lang w:val="pt-BR"/>
        </w:rPr>
        <w:t>d</w:t>
      </w:r>
      <w:r w:rsidR="0040430A" w:rsidRPr="002F4565">
        <w:rPr>
          <w:lang w:val="pt-BR"/>
        </w:rPr>
        <w:t>est</w:t>
      </w:r>
      <w:r w:rsidRPr="002F4565">
        <w:rPr>
          <w:lang w:val="pt-BR"/>
        </w:rPr>
        <w:t>a</w:t>
      </w:r>
      <w:r w:rsidR="0040430A" w:rsidRPr="002F4565">
        <w:rPr>
          <w:lang w:val="pt-BR"/>
        </w:rPr>
        <w:t>s</w:t>
      </w:r>
      <w:r w:rsidR="00115B91" w:rsidRPr="002F4565">
        <w:rPr>
          <w:lang w:val="pt-BR"/>
        </w:rPr>
        <w:t xml:space="preserve"> </w:t>
      </w:r>
      <w:r w:rsidRPr="002F4565">
        <w:rPr>
          <w:lang w:val="pt-BR"/>
        </w:rPr>
        <w:t>diretrizes</w:t>
      </w:r>
      <w:r w:rsidR="00115B91" w:rsidRPr="002F4565">
        <w:rPr>
          <w:lang w:val="pt-BR"/>
        </w:rPr>
        <w:t xml:space="preserve"> </w:t>
      </w:r>
      <w:r w:rsidR="0049090C" w:rsidRPr="002F4565">
        <w:rPr>
          <w:lang w:val="pt-BR"/>
        </w:rPr>
        <w:t>e</w:t>
      </w:r>
      <w:r w:rsidR="00115B91" w:rsidRPr="002F4565">
        <w:rPr>
          <w:lang w:val="pt-BR"/>
        </w:rPr>
        <w:t xml:space="preserve"> </w:t>
      </w:r>
      <w:r w:rsidR="00F21F55" w:rsidRPr="002F4565">
        <w:rPr>
          <w:lang w:val="pt-BR"/>
        </w:rPr>
        <w:t>informações</w:t>
      </w:r>
      <w:r w:rsidR="00115B91" w:rsidRPr="002F4565">
        <w:rPr>
          <w:lang w:val="pt-BR"/>
        </w:rPr>
        <w:t xml:space="preserve"> </w:t>
      </w:r>
      <w:r w:rsidRPr="002F4565">
        <w:rPr>
          <w:lang w:val="pt-BR"/>
        </w:rPr>
        <w:t xml:space="preserve">nutricionais para as </w:t>
      </w:r>
      <w:r w:rsidR="006A31E1" w:rsidRPr="002F4565">
        <w:rPr>
          <w:lang w:val="pt-BR"/>
        </w:rPr>
        <w:t>pessoas</w:t>
      </w:r>
      <w:r w:rsidRPr="002F4565">
        <w:rPr>
          <w:lang w:val="pt-BR"/>
        </w:rPr>
        <w:t>,</w:t>
      </w:r>
      <w:r w:rsidR="00115B91" w:rsidRPr="002F4565">
        <w:rPr>
          <w:lang w:val="pt-BR"/>
        </w:rPr>
        <w:t xml:space="preserve"> </w:t>
      </w:r>
      <w:r w:rsidRPr="002F4565">
        <w:rPr>
          <w:lang w:val="pt-BR"/>
        </w:rPr>
        <w:t xml:space="preserve">de maneira </w:t>
      </w:r>
      <w:r w:rsidR="00115B91" w:rsidRPr="002F4565">
        <w:rPr>
          <w:lang w:val="pt-BR"/>
        </w:rPr>
        <w:t>compreens</w:t>
      </w:r>
      <w:r w:rsidRPr="002F4565">
        <w:rPr>
          <w:lang w:val="pt-BR"/>
        </w:rPr>
        <w:t xml:space="preserve">ível, </w:t>
      </w:r>
      <w:r w:rsidR="005A25F5" w:rsidRPr="002F4565">
        <w:rPr>
          <w:lang w:val="pt-BR"/>
        </w:rPr>
        <w:t>é</w:t>
      </w:r>
      <w:r w:rsidR="00115B91" w:rsidRPr="002F4565">
        <w:rPr>
          <w:lang w:val="pt-BR"/>
        </w:rPr>
        <w:t xml:space="preserve"> </w:t>
      </w:r>
      <w:r w:rsidRPr="002F4565">
        <w:rPr>
          <w:lang w:val="pt-BR"/>
        </w:rPr>
        <w:t>igualmente</w:t>
      </w:r>
      <w:r w:rsidR="00115B91" w:rsidRPr="002F4565">
        <w:rPr>
          <w:lang w:val="pt-BR"/>
        </w:rPr>
        <w:t xml:space="preserve"> </w:t>
      </w:r>
      <w:r w:rsidR="006A31E1" w:rsidRPr="002F4565">
        <w:rPr>
          <w:lang w:val="pt-BR"/>
        </w:rPr>
        <w:t>importante</w:t>
      </w:r>
      <w:r w:rsidR="00115B91" w:rsidRPr="002F4565">
        <w:rPr>
          <w:lang w:val="pt-BR"/>
        </w:rPr>
        <w:t xml:space="preserve">. </w:t>
      </w:r>
      <w:r w:rsidRPr="002F4565">
        <w:rPr>
          <w:lang w:val="pt-BR"/>
        </w:rPr>
        <w:t xml:space="preserve">Uma </w:t>
      </w:r>
      <w:r w:rsidR="00624BDC" w:rsidRPr="002F4565">
        <w:rPr>
          <w:lang w:val="pt-BR"/>
        </w:rPr>
        <w:t>abordagem</w:t>
      </w:r>
      <w:r w:rsidR="00115B91" w:rsidRPr="002F4565">
        <w:rPr>
          <w:lang w:val="pt-BR"/>
        </w:rPr>
        <w:t xml:space="preserve"> </w:t>
      </w:r>
      <w:r w:rsidRPr="002F4565">
        <w:rPr>
          <w:lang w:val="pt-BR"/>
        </w:rPr>
        <w:t xml:space="preserve">regulatória </w:t>
      </w:r>
      <w:r w:rsidR="006A31E1" w:rsidRPr="002F4565">
        <w:rPr>
          <w:lang w:val="pt-BR"/>
        </w:rPr>
        <w:t>que</w:t>
      </w:r>
      <w:r w:rsidR="00115B91" w:rsidRPr="002F4565">
        <w:rPr>
          <w:lang w:val="pt-BR"/>
        </w:rPr>
        <w:t xml:space="preserve"> </w:t>
      </w:r>
      <w:r w:rsidRPr="002F4565">
        <w:rPr>
          <w:lang w:val="pt-BR"/>
        </w:rPr>
        <w:t xml:space="preserve">os </w:t>
      </w:r>
      <w:r w:rsidR="0049090C" w:rsidRPr="002F4565">
        <w:rPr>
          <w:lang w:val="pt-BR"/>
        </w:rPr>
        <w:t>Estados</w:t>
      </w:r>
      <w:r w:rsidR="00115B91" w:rsidRPr="002F4565">
        <w:rPr>
          <w:lang w:val="pt-BR"/>
        </w:rPr>
        <w:t xml:space="preserve"> </w:t>
      </w:r>
      <w:r w:rsidRPr="002F4565">
        <w:rPr>
          <w:lang w:val="pt-BR"/>
        </w:rPr>
        <w:t>devem</w:t>
      </w:r>
      <w:r w:rsidR="00115B91" w:rsidRPr="002F4565">
        <w:rPr>
          <w:lang w:val="pt-BR"/>
        </w:rPr>
        <w:t xml:space="preserve"> consider</w:t>
      </w:r>
      <w:r w:rsidRPr="002F4565">
        <w:rPr>
          <w:lang w:val="pt-BR"/>
        </w:rPr>
        <w:t>ar</w:t>
      </w:r>
      <w:r w:rsidR="00115B91" w:rsidRPr="002F4565">
        <w:rPr>
          <w:lang w:val="pt-BR"/>
        </w:rPr>
        <w:t xml:space="preserve"> </w:t>
      </w:r>
      <w:r w:rsidR="005A25F5" w:rsidRPr="002F4565">
        <w:rPr>
          <w:lang w:val="pt-BR"/>
        </w:rPr>
        <w:t>é</w:t>
      </w:r>
      <w:r w:rsidR="00115B91" w:rsidRPr="002F4565">
        <w:rPr>
          <w:lang w:val="pt-BR"/>
        </w:rPr>
        <w:t xml:space="preserve"> </w:t>
      </w:r>
      <w:r w:rsidRPr="002F4565">
        <w:rPr>
          <w:lang w:val="pt-BR"/>
        </w:rPr>
        <w:t>a</w:t>
      </w:r>
      <w:r w:rsidR="00115B91" w:rsidRPr="002F4565">
        <w:rPr>
          <w:lang w:val="pt-BR"/>
        </w:rPr>
        <w:t xml:space="preserve"> </w:t>
      </w:r>
      <w:r w:rsidRPr="002F4565">
        <w:rPr>
          <w:lang w:val="pt-BR"/>
        </w:rPr>
        <w:t>adoção</w:t>
      </w:r>
      <w:r w:rsidR="00115B91" w:rsidRPr="002F4565">
        <w:rPr>
          <w:lang w:val="pt-BR"/>
        </w:rPr>
        <w:t xml:space="preserve"> </w:t>
      </w:r>
      <w:r w:rsidR="0049090C" w:rsidRPr="002F4565">
        <w:rPr>
          <w:lang w:val="pt-BR"/>
        </w:rPr>
        <w:t>de</w:t>
      </w:r>
      <w:r w:rsidR="00115B91" w:rsidRPr="002F4565">
        <w:rPr>
          <w:lang w:val="pt-BR"/>
        </w:rPr>
        <w:t xml:space="preserve"> </w:t>
      </w:r>
      <w:r w:rsidR="00072E1E" w:rsidRPr="002F4565">
        <w:rPr>
          <w:lang w:val="pt-BR"/>
        </w:rPr>
        <w:t xml:space="preserve">modelos de perfis de </w:t>
      </w:r>
      <w:r w:rsidR="00115B91" w:rsidRPr="002F4565">
        <w:rPr>
          <w:lang w:val="pt-BR"/>
        </w:rPr>
        <w:t>nutrient</w:t>
      </w:r>
      <w:r w:rsidR="00072E1E" w:rsidRPr="002F4565">
        <w:rPr>
          <w:lang w:val="pt-BR"/>
        </w:rPr>
        <w:t>es</w:t>
      </w:r>
      <w:r w:rsidR="00115B91" w:rsidRPr="002F4565">
        <w:rPr>
          <w:lang w:val="pt-BR"/>
        </w:rPr>
        <w:t xml:space="preserve">, </w:t>
      </w:r>
      <w:r w:rsidR="00FB4DE4" w:rsidRPr="002F4565">
        <w:rPr>
          <w:lang w:val="pt-BR"/>
        </w:rPr>
        <w:t>em</w:t>
      </w:r>
      <w:r w:rsidR="00115B91" w:rsidRPr="002F4565">
        <w:rPr>
          <w:lang w:val="pt-BR"/>
        </w:rPr>
        <w:t xml:space="preserve"> </w:t>
      </w:r>
      <w:r w:rsidR="00072E1E" w:rsidRPr="002F4565">
        <w:rPr>
          <w:lang w:val="pt-BR"/>
        </w:rPr>
        <w:t xml:space="preserve">que os </w:t>
      </w:r>
      <w:r w:rsidR="00261A8A" w:rsidRPr="002F4565">
        <w:rPr>
          <w:lang w:val="pt-BR"/>
        </w:rPr>
        <w:t>alimentos</w:t>
      </w:r>
      <w:r w:rsidR="00115B91" w:rsidRPr="002F4565">
        <w:rPr>
          <w:lang w:val="pt-BR"/>
        </w:rPr>
        <w:t xml:space="preserve"> </w:t>
      </w:r>
      <w:r w:rsidR="0040430A" w:rsidRPr="002F4565">
        <w:rPr>
          <w:lang w:val="pt-BR"/>
        </w:rPr>
        <w:t>são</w:t>
      </w:r>
      <w:r w:rsidR="00115B91" w:rsidRPr="002F4565">
        <w:rPr>
          <w:lang w:val="pt-BR"/>
        </w:rPr>
        <w:t xml:space="preserve"> </w:t>
      </w:r>
      <w:r w:rsidR="00072E1E" w:rsidRPr="002F4565">
        <w:rPr>
          <w:lang w:val="pt-BR"/>
        </w:rPr>
        <w:t>classificados de acordo com</w:t>
      </w:r>
      <w:r w:rsidR="00115B91" w:rsidRPr="002F4565">
        <w:rPr>
          <w:lang w:val="pt-BR"/>
        </w:rPr>
        <w:t xml:space="preserve"> </w:t>
      </w:r>
      <w:r w:rsidR="00072E1E" w:rsidRPr="002F4565">
        <w:rPr>
          <w:lang w:val="pt-BR"/>
        </w:rPr>
        <w:t>a composição nutricional</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18. </w:t>
      </w:r>
      <w:r w:rsidR="00072E1E" w:rsidRPr="002F4565">
        <w:rPr>
          <w:lang w:val="pt-BR"/>
        </w:rPr>
        <w:t xml:space="preserve">Os </w:t>
      </w:r>
      <w:r w:rsidR="00B5729E" w:rsidRPr="002F4565">
        <w:rPr>
          <w:lang w:val="pt-BR"/>
        </w:rPr>
        <w:t>programas</w:t>
      </w:r>
      <w:r w:rsidRPr="002F4565">
        <w:rPr>
          <w:lang w:val="pt-BR"/>
        </w:rPr>
        <w:t xml:space="preserve"> </w:t>
      </w:r>
      <w:r w:rsidR="00072E1E" w:rsidRPr="002F4565">
        <w:rPr>
          <w:lang w:val="pt-BR"/>
        </w:rPr>
        <w:t xml:space="preserve">de educação e conscientização pública podem ajudar a </w:t>
      </w:r>
      <w:r w:rsidRPr="002F4565">
        <w:rPr>
          <w:lang w:val="pt-BR"/>
        </w:rPr>
        <w:t>popul</w:t>
      </w:r>
      <w:r w:rsidR="00F21F55" w:rsidRPr="002F4565">
        <w:rPr>
          <w:lang w:val="pt-BR"/>
        </w:rPr>
        <w:t>ação</w:t>
      </w:r>
      <w:r w:rsidRPr="002F4565">
        <w:rPr>
          <w:lang w:val="pt-BR"/>
        </w:rPr>
        <w:t xml:space="preserve"> </w:t>
      </w:r>
      <w:r w:rsidR="00072E1E" w:rsidRPr="002F4565">
        <w:rPr>
          <w:lang w:val="pt-BR"/>
        </w:rPr>
        <w:t xml:space="preserve">a </w:t>
      </w:r>
      <w:r w:rsidR="00413531" w:rsidRPr="002F4565">
        <w:rPr>
          <w:lang w:val="pt-BR"/>
        </w:rPr>
        <w:t xml:space="preserve">escolher </w:t>
      </w:r>
      <w:r w:rsidR="00072E1E" w:rsidRPr="002F4565">
        <w:rPr>
          <w:lang w:val="pt-BR"/>
        </w:rPr>
        <w:t>alimentos mais saudáveis</w:t>
      </w:r>
      <w:r w:rsidRPr="002F4565">
        <w:rPr>
          <w:lang w:val="pt-BR"/>
        </w:rPr>
        <w:t xml:space="preserve">. </w:t>
      </w:r>
      <w:r w:rsidR="00072E1E" w:rsidRPr="002F4565">
        <w:rPr>
          <w:lang w:val="pt-BR"/>
        </w:rPr>
        <w:t>A rotulagem de produtos alimentícios</w:t>
      </w:r>
      <w:r w:rsidRPr="002F4565">
        <w:rPr>
          <w:lang w:val="pt-BR"/>
        </w:rPr>
        <w:t xml:space="preserve"> </w:t>
      </w:r>
      <w:r w:rsidR="00413531" w:rsidRPr="002F4565">
        <w:rPr>
          <w:lang w:val="pt-BR"/>
        </w:rPr>
        <w:t xml:space="preserve">de fácil compreensão </w:t>
      </w:r>
      <w:r w:rsidR="005A25F5" w:rsidRPr="002F4565">
        <w:rPr>
          <w:lang w:val="pt-BR"/>
        </w:rPr>
        <w:t>é</w:t>
      </w:r>
      <w:r w:rsidRPr="002F4565">
        <w:rPr>
          <w:lang w:val="pt-BR"/>
        </w:rPr>
        <w:t xml:space="preserve"> </w:t>
      </w:r>
      <w:r w:rsidR="00072E1E" w:rsidRPr="002F4565">
        <w:rPr>
          <w:lang w:val="pt-BR"/>
        </w:rPr>
        <w:t>um</w:t>
      </w:r>
      <w:r w:rsidRPr="002F4565">
        <w:rPr>
          <w:lang w:val="pt-BR"/>
        </w:rPr>
        <w:t xml:space="preserve"> </w:t>
      </w:r>
      <w:r w:rsidR="00072E1E" w:rsidRPr="002F4565">
        <w:rPr>
          <w:lang w:val="pt-BR"/>
        </w:rPr>
        <w:t xml:space="preserve">método comum de </w:t>
      </w:r>
      <w:r w:rsidR="00F21F55" w:rsidRPr="002F4565">
        <w:rPr>
          <w:lang w:val="pt-BR"/>
        </w:rPr>
        <w:t>conscientização</w:t>
      </w:r>
      <w:r w:rsidRPr="002F4565">
        <w:rPr>
          <w:lang w:val="pt-BR"/>
        </w:rPr>
        <w:t xml:space="preserve"> </w:t>
      </w:r>
      <w:r w:rsidR="0049090C" w:rsidRPr="002F4565">
        <w:rPr>
          <w:lang w:val="pt-BR"/>
        </w:rPr>
        <w:t>e</w:t>
      </w:r>
      <w:r w:rsidRPr="002F4565">
        <w:rPr>
          <w:lang w:val="pt-BR"/>
        </w:rPr>
        <w:t xml:space="preserve"> </w:t>
      </w:r>
      <w:r w:rsidR="00072E1E" w:rsidRPr="002F4565">
        <w:rPr>
          <w:lang w:val="pt-BR"/>
        </w:rPr>
        <w:t xml:space="preserve">incentivo </w:t>
      </w:r>
      <w:r w:rsidR="00413531" w:rsidRPr="002F4565">
        <w:rPr>
          <w:lang w:val="pt-BR"/>
        </w:rPr>
        <w:t>a</w:t>
      </w:r>
      <w:r w:rsidR="00072E1E" w:rsidRPr="002F4565">
        <w:rPr>
          <w:lang w:val="pt-BR"/>
        </w:rPr>
        <w:t xml:space="preserve">os </w:t>
      </w:r>
      <w:r w:rsidR="002E1AA7" w:rsidRPr="002F4565">
        <w:rPr>
          <w:lang w:val="pt-BR"/>
        </w:rPr>
        <w:t>consumidores</w:t>
      </w:r>
      <w:r w:rsidRPr="002F4565">
        <w:rPr>
          <w:lang w:val="pt-BR"/>
        </w:rPr>
        <w:t xml:space="preserve"> </w:t>
      </w:r>
      <w:r w:rsidR="00072E1E" w:rsidRPr="002F4565">
        <w:rPr>
          <w:lang w:val="pt-BR"/>
        </w:rPr>
        <w:t xml:space="preserve">para tomar </w:t>
      </w:r>
      <w:r w:rsidR="00624BDC" w:rsidRPr="002F4565">
        <w:rPr>
          <w:lang w:val="pt-BR"/>
        </w:rPr>
        <w:t>decisões</w:t>
      </w:r>
      <w:r w:rsidRPr="002F4565">
        <w:rPr>
          <w:lang w:val="pt-BR"/>
        </w:rPr>
        <w:t xml:space="preserve"> </w:t>
      </w:r>
      <w:r w:rsidR="00072E1E" w:rsidRPr="002F4565">
        <w:rPr>
          <w:lang w:val="pt-BR"/>
        </w:rPr>
        <w:t xml:space="preserve">bem informadas </w:t>
      </w:r>
      <w:r w:rsidR="00F21F55" w:rsidRPr="002F4565">
        <w:rPr>
          <w:lang w:val="pt-BR"/>
        </w:rPr>
        <w:t>sobre</w:t>
      </w:r>
      <w:r w:rsidRPr="002F4565">
        <w:rPr>
          <w:lang w:val="pt-BR"/>
        </w:rPr>
        <w:t xml:space="preserve"> </w:t>
      </w:r>
      <w:r w:rsidR="0040430A" w:rsidRPr="002F4565">
        <w:rPr>
          <w:lang w:val="pt-BR"/>
        </w:rPr>
        <w:t>dieta</w:t>
      </w:r>
      <w:r w:rsidRPr="002F4565">
        <w:rPr>
          <w:lang w:val="pt-BR"/>
        </w:rPr>
        <w:t xml:space="preserve">. </w:t>
      </w:r>
      <w:r w:rsidR="00624BDC" w:rsidRPr="002F4565">
        <w:rPr>
          <w:lang w:val="pt-BR"/>
        </w:rPr>
        <w:t>Por exemplo</w:t>
      </w:r>
      <w:r w:rsidRPr="002F4565">
        <w:rPr>
          <w:lang w:val="pt-BR"/>
        </w:rPr>
        <w:t xml:space="preserve">, </w:t>
      </w:r>
      <w:r w:rsidR="00072E1E" w:rsidRPr="002F4565">
        <w:rPr>
          <w:lang w:val="pt-BR"/>
        </w:rPr>
        <w:t>alguns Estados</w:t>
      </w:r>
      <w:r w:rsidRPr="002F4565">
        <w:rPr>
          <w:lang w:val="pt-BR"/>
        </w:rPr>
        <w:t xml:space="preserve"> </w:t>
      </w:r>
      <w:r w:rsidR="00072E1E" w:rsidRPr="002F4565">
        <w:rPr>
          <w:lang w:val="pt-BR"/>
        </w:rPr>
        <w:t>emitiram orientações</w:t>
      </w:r>
      <w:r w:rsidRPr="002F4565">
        <w:rPr>
          <w:lang w:val="pt-BR"/>
        </w:rPr>
        <w:t xml:space="preserve"> </w:t>
      </w:r>
      <w:r w:rsidR="00072E1E" w:rsidRPr="002F4565">
        <w:rPr>
          <w:lang w:val="pt-BR"/>
        </w:rPr>
        <w:t xml:space="preserve">para </w:t>
      </w:r>
      <w:r w:rsidR="00FB4401" w:rsidRPr="002F4565">
        <w:rPr>
          <w:lang w:val="pt-BR"/>
        </w:rPr>
        <w:t>supermercado</w:t>
      </w:r>
      <w:r w:rsidRPr="002F4565">
        <w:rPr>
          <w:lang w:val="pt-BR"/>
        </w:rPr>
        <w:t xml:space="preserve">s </w:t>
      </w:r>
      <w:r w:rsidR="0049090C" w:rsidRPr="002F4565">
        <w:rPr>
          <w:lang w:val="pt-BR"/>
        </w:rPr>
        <w:t>e</w:t>
      </w:r>
      <w:r w:rsidRPr="002F4565">
        <w:rPr>
          <w:lang w:val="pt-BR"/>
        </w:rPr>
        <w:t xml:space="preserve"> </w:t>
      </w:r>
      <w:r w:rsidR="00072E1E" w:rsidRPr="002F4565">
        <w:rPr>
          <w:lang w:val="pt-BR"/>
        </w:rPr>
        <w:t>fabricantes de alimentos e bebidas para usar imagens</w:t>
      </w:r>
      <w:r w:rsidRPr="002F4565">
        <w:rPr>
          <w:lang w:val="pt-BR"/>
        </w:rPr>
        <w:t xml:space="preserve"> </w:t>
      </w:r>
      <w:r w:rsidR="00072E1E" w:rsidRPr="002F4565">
        <w:rPr>
          <w:lang w:val="pt-BR"/>
        </w:rPr>
        <w:t>como rotulagem bem visível de alimentos</w:t>
      </w:r>
      <w:r w:rsidRPr="002F4565">
        <w:rPr>
          <w:lang w:val="pt-BR"/>
        </w:rPr>
        <w:t xml:space="preserve">, </w:t>
      </w:r>
      <w:r w:rsidR="00072E1E" w:rsidRPr="002F4565">
        <w:rPr>
          <w:lang w:val="pt-BR"/>
        </w:rPr>
        <w:t xml:space="preserve">tipo </w:t>
      </w:r>
      <w:r w:rsidRPr="002F4565">
        <w:rPr>
          <w:lang w:val="pt-BR"/>
        </w:rPr>
        <w:t>“</w:t>
      </w:r>
      <w:r w:rsidR="00072E1E" w:rsidRPr="002F4565">
        <w:rPr>
          <w:lang w:val="pt-BR"/>
        </w:rPr>
        <w:t>semáforo</w:t>
      </w:r>
      <w:proofErr w:type="gramStart"/>
      <w:r w:rsidRPr="002F4565">
        <w:rPr>
          <w:lang w:val="pt-BR"/>
        </w:rPr>
        <w:t>”.</w:t>
      </w:r>
      <w:proofErr w:type="gramEnd"/>
      <w:r w:rsidRPr="002F4565">
        <w:rPr>
          <w:vertAlign w:val="superscript"/>
          <w:lang w:val="pt-BR"/>
        </w:rPr>
        <w:t>33</w:t>
      </w:r>
      <w:r w:rsidRPr="002F4565">
        <w:rPr>
          <w:lang w:val="pt-BR"/>
        </w:rPr>
        <w:t xml:space="preserve"> </w:t>
      </w:r>
      <w:r w:rsidR="00072E1E" w:rsidRPr="002F4565">
        <w:rPr>
          <w:lang w:val="pt-BR"/>
        </w:rPr>
        <w:t xml:space="preserve">Isto cria </w:t>
      </w:r>
      <w:r w:rsidR="00F21F55" w:rsidRPr="002F4565">
        <w:rPr>
          <w:lang w:val="pt-BR"/>
        </w:rPr>
        <w:t>conscientização</w:t>
      </w:r>
      <w:r w:rsidRPr="002F4565">
        <w:rPr>
          <w:lang w:val="pt-BR"/>
        </w:rPr>
        <w:t xml:space="preserve"> </w:t>
      </w:r>
      <w:r w:rsidR="00F21F55" w:rsidRPr="002F4565">
        <w:rPr>
          <w:lang w:val="pt-BR"/>
        </w:rPr>
        <w:t>sobre</w:t>
      </w:r>
      <w:r w:rsidRPr="002F4565">
        <w:rPr>
          <w:lang w:val="pt-BR"/>
        </w:rPr>
        <w:t xml:space="preserve"> </w:t>
      </w:r>
      <w:r w:rsidR="00F21F55" w:rsidRPr="002F4565">
        <w:rPr>
          <w:lang w:val="pt-BR"/>
        </w:rPr>
        <w:t>opções</w:t>
      </w:r>
      <w:r w:rsidR="00072E1E" w:rsidRPr="002F4565">
        <w:rPr>
          <w:lang w:val="pt-BR"/>
        </w:rPr>
        <w:t xml:space="preserve"> de alimentos mais saudáveis</w:t>
      </w:r>
      <w:r w:rsidRPr="002F4565">
        <w:rPr>
          <w:lang w:val="pt-BR"/>
        </w:rPr>
        <w:t xml:space="preserve">, </w:t>
      </w:r>
      <w:r w:rsidR="00072E1E" w:rsidRPr="002F4565">
        <w:rPr>
          <w:lang w:val="pt-BR"/>
        </w:rPr>
        <w:t xml:space="preserve">afetando </w:t>
      </w:r>
      <w:r w:rsidR="00C47496" w:rsidRPr="002F4565">
        <w:rPr>
          <w:lang w:val="pt-BR"/>
        </w:rPr>
        <w:t>positivamente</w:t>
      </w:r>
      <w:r w:rsidRPr="002F4565">
        <w:rPr>
          <w:lang w:val="pt-BR"/>
        </w:rPr>
        <w:t xml:space="preserve"> </w:t>
      </w:r>
      <w:r w:rsidR="00072E1E" w:rsidRPr="002F4565">
        <w:rPr>
          <w:lang w:val="pt-BR"/>
        </w:rPr>
        <w:t>a escolha do consumidor</w:t>
      </w:r>
      <w:r w:rsidRPr="002F4565">
        <w:rPr>
          <w:lang w:val="pt-BR"/>
        </w:rPr>
        <w:t xml:space="preserve">. </w:t>
      </w:r>
      <w:r w:rsidR="00072E1E" w:rsidRPr="002F4565">
        <w:rPr>
          <w:lang w:val="pt-BR"/>
        </w:rPr>
        <w:t>A rotulagem</w:t>
      </w:r>
      <w:r w:rsidRPr="002F4565">
        <w:rPr>
          <w:lang w:val="pt-BR"/>
        </w:rPr>
        <w:t xml:space="preserve"> </w:t>
      </w:r>
      <w:r w:rsidR="00072E1E" w:rsidRPr="002F4565">
        <w:rPr>
          <w:lang w:val="pt-BR"/>
        </w:rPr>
        <w:t>de alimento</w:t>
      </w:r>
      <w:r w:rsidR="00413531" w:rsidRPr="002F4565">
        <w:rPr>
          <w:lang w:val="pt-BR"/>
        </w:rPr>
        <w:t>s</w:t>
      </w:r>
      <w:r w:rsidR="00072E1E" w:rsidRPr="002F4565">
        <w:rPr>
          <w:lang w:val="pt-BR"/>
        </w:rPr>
        <w:t xml:space="preserve"> tipo </w:t>
      </w:r>
      <w:r w:rsidR="00413531" w:rsidRPr="002F4565">
        <w:rPr>
          <w:lang w:val="pt-BR"/>
        </w:rPr>
        <w:t>“</w:t>
      </w:r>
      <w:r w:rsidR="00072E1E" w:rsidRPr="002F4565">
        <w:rPr>
          <w:lang w:val="pt-BR"/>
        </w:rPr>
        <w:t>semáforo</w:t>
      </w:r>
      <w:r w:rsidR="00413531" w:rsidRPr="002F4565">
        <w:rPr>
          <w:lang w:val="pt-BR"/>
        </w:rPr>
        <w:t>”</w:t>
      </w:r>
      <w:r w:rsidR="00072E1E" w:rsidRPr="002F4565">
        <w:rPr>
          <w:lang w:val="pt-BR"/>
        </w:rPr>
        <w:t xml:space="preserve"> utiliza a cor vermelha</w:t>
      </w:r>
      <w:r w:rsidRPr="002F4565">
        <w:rPr>
          <w:lang w:val="pt-BR"/>
        </w:rPr>
        <w:t xml:space="preserve">, </w:t>
      </w:r>
      <w:r w:rsidR="00072E1E" w:rsidRPr="002F4565">
        <w:rPr>
          <w:lang w:val="pt-BR"/>
        </w:rPr>
        <w:t xml:space="preserve">âmbar e verde para </w:t>
      </w:r>
      <w:r w:rsidRPr="002F4565">
        <w:rPr>
          <w:lang w:val="pt-BR"/>
        </w:rPr>
        <w:t>indica</w:t>
      </w:r>
      <w:r w:rsidR="00072E1E" w:rsidRPr="002F4565">
        <w:rPr>
          <w:lang w:val="pt-BR"/>
        </w:rPr>
        <w:t>r</w:t>
      </w:r>
      <w:r w:rsidRPr="002F4565">
        <w:rPr>
          <w:lang w:val="pt-BR"/>
        </w:rPr>
        <w:t xml:space="preserve"> </w:t>
      </w:r>
      <w:r w:rsidR="00072E1E" w:rsidRPr="002F4565">
        <w:rPr>
          <w:lang w:val="pt-BR"/>
        </w:rPr>
        <w:t xml:space="preserve">alto, médio e baixo teor de um nutriente em </w:t>
      </w:r>
      <w:r w:rsidRPr="002F4565">
        <w:rPr>
          <w:lang w:val="pt-BR"/>
        </w:rPr>
        <w:t xml:space="preserve">particular </w:t>
      </w:r>
      <w:r w:rsidR="00072E1E" w:rsidRPr="002F4565">
        <w:rPr>
          <w:lang w:val="pt-BR"/>
        </w:rPr>
        <w:t>respectivamente</w:t>
      </w:r>
      <w:r w:rsidRPr="002F4565">
        <w:rPr>
          <w:lang w:val="pt-BR"/>
        </w:rPr>
        <w:t xml:space="preserve">. </w:t>
      </w:r>
      <w:r w:rsidR="00072E1E" w:rsidRPr="002F4565">
        <w:rPr>
          <w:lang w:val="pt-BR"/>
        </w:rPr>
        <w:t>Como as</w:t>
      </w:r>
      <w:r w:rsidRPr="002F4565">
        <w:rPr>
          <w:lang w:val="pt-BR"/>
        </w:rPr>
        <w:t xml:space="preserve"> </w:t>
      </w:r>
      <w:r w:rsidR="00802E44" w:rsidRPr="002F4565">
        <w:rPr>
          <w:lang w:val="pt-BR"/>
        </w:rPr>
        <w:t>crianças</w:t>
      </w:r>
      <w:r w:rsidRPr="002F4565">
        <w:rPr>
          <w:lang w:val="pt-BR"/>
        </w:rPr>
        <w:t xml:space="preserve"> </w:t>
      </w:r>
      <w:r w:rsidR="0040430A" w:rsidRPr="002F4565">
        <w:rPr>
          <w:lang w:val="pt-BR"/>
        </w:rPr>
        <w:t>são</w:t>
      </w:r>
      <w:r w:rsidRPr="002F4565">
        <w:rPr>
          <w:lang w:val="pt-BR"/>
        </w:rPr>
        <w:t xml:space="preserve"> parti</w:t>
      </w:r>
      <w:r w:rsidR="00FB4DE4" w:rsidRPr="002F4565">
        <w:rPr>
          <w:lang w:val="pt-BR"/>
        </w:rPr>
        <w:t>cularmente</w:t>
      </w:r>
      <w:r w:rsidRPr="002F4565">
        <w:rPr>
          <w:lang w:val="pt-BR"/>
        </w:rPr>
        <w:t xml:space="preserve"> vulner</w:t>
      </w:r>
      <w:r w:rsidR="00802E44" w:rsidRPr="002F4565">
        <w:rPr>
          <w:lang w:val="pt-BR"/>
        </w:rPr>
        <w:t>áveis</w:t>
      </w:r>
      <w:r w:rsidRPr="002F4565">
        <w:rPr>
          <w:lang w:val="pt-BR"/>
        </w:rPr>
        <w:t xml:space="preserve"> </w:t>
      </w:r>
      <w:r w:rsidR="00072E1E" w:rsidRPr="002F4565">
        <w:rPr>
          <w:lang w:val="pt-BR"/>
        </w:rPr>
        <w:t xml:space="preserve">a um risco maior </w:t>
      </w:r>
      <w:r w:rsidR="0049090C" w:rsidRPr="002F4565">
        <w:rPr>
          <w:lang w:val="pt-BR"/>
        </w:rPr>
        <w:t>de</w:t>
      </w:r>
      <w:r w:rsidRPr="002F4565">
        <w:rPr>
          <w:lang w:val="pt-BR"/>
        </w:rPr>
        <w:t xml:space="preserve"> </w:t>
      </w:r>
      <w:r w:rsidR="0049090C" w:rsidRPr="002F4565">
        <w:rPr>
          <w:lang w:val="pt-BR"/>
        </w:rPr>
        <w:t>DNT</w:t>
      </w:r>
      <w:r w:rsidRPr="002F4565">
        <w:rPr>
          <w:lang w:val="pt-BR"/>
        </w:rPr>
        <w:t xml:space="preserve">s </w:t>
      </w:r>
      <w:r w:rsidR="00072E1E" w:rsidRPr="002F4565">
        <w:rPr>
          <w:lang w:val="pt-BR"/>
        </w:rPr>
        <w:t xml:space="preserve">na idade adulta devido ao </w:t>
      </w:r>
      <w:r w:rsidR="00261A8A" w:rsidRPr="002F4565">
        <w:rPr>
          <w:lang w:val="pt-BR"/>
        </w:rPr>
        <w:t>o</w:t>
      </w:r>
      <w:r w:rsidRPr="002F4565">
        <w:rPr>
          <w:lang w:val="pt-BR"/>
        </w:rPr>
        <w:t xml:space="preserve">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072E1E"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072E1E" w:rsidRPr="002F4565">
        <w:rPr>
          <w:lang w:val="pt-BR"/>
        </w:rPr>
        <w:t>envolver as escola</w:t>
      </w:r>
      <w:r w:rsidRPr="002F4565">
        <w:rPr>
          <w:lang w:val="pt-BR"/>
        </w:rPr>
        <w:t xml:space="preserve">s </w:t>
      </w:r>
      <w:r w:rsidR="00072E1E" w:rsidRPr="002F4565">
        <w:rPr>
          <w:lang w:val="pt-BR"/>
        </w:rPr>
        <w:t xml:space="preserve">para ensinar as </w:t>
      </w:r>
      <w:r w:rsidR="00802E44" w:rsidRPr="002F4565">
        <w:rPr>
          <w:lang w:val="pt-BR"/>
        </w:rPr>
        <w:t>crianças</w:t>
      </w:r>
      <w:r w:rsidRPr="002F4565">
        <w:rPr>
          <w:lang w:val="pt-BR"/>
        </w:rPr>
        <w:t xml:space="preserve"> </w:t>
      </w:r>
      <w:r w:rsidR="00F21F55" w:rsidRPr="002F4565">
        <w:rPr>
          <w:lang w:val="pt-BR"/>
        </w:rPr>
        <w:t>sobre</w:t>
      </w:r>
      <w:r w:rsidRPr="002F4565">
        <w:rPr>
          <w:lang w:val="pt-BR"/>
        </w:rPr>
        <w:t xml:space="preserve"> </w:t>
      </w:r>
      <w:r w:rsidR="00261A8A" w:rsidRPr="002F4565">
        <w:rPr>
          <w:lang w:val="pt-BR"/>
        </w:rPr>
        <w:t>o</w:t>
      </w:r>
      <w:r w:rsidR="00072E1E" w:rsidRPr="002F4565">
        <w:rPr>
          <w:lang w:val="pt-BR"/>
        </w:rPr>
        <w:t>s</w:t>
      </w:r>
      <w:r w:rsidRPr="002F4565">
        <w:rPr>
          <w:lang w:val="pt-BR"/>
        </w:rPr>
        <w:t xml:space="preserve"> </w:t>
      </w:r>
      <w:r w:rsidR="00072E1E" w:rsidRPr="002F4565">
        <w:rPr>
          <w:lang w:val="pt-BR"/>
        </w:rPr>
        <w:t>benefício</w:t>
      </w:r>
      <w:r w:rsidRPr="002F4565">
        <w:rPr>
          <w:lang w:val="pt-BR"/>
        </w:rPr>
        <w:t xml:space="preserve">s </w:t>
      </w:r>
      <w:r w:rsidR="0049090C" w:rsidRPr="002F4565">
        <w:rPr>
          <w:lang w:val="pt-BR"/>
        </w:rPr>
        <w:t>d</w:t>
      </w:r>
      <w:r w:rsidR="00072E1E" w:rsidRPr="002F4565">
        <w:rPr>
          <w:lang w:val="pt-BR"/>
        </w:rPr>
        <w:t>os</w:t>
      </w:r>
      <w:r w:rsidRPr="002F4565">
        <w:rPr>
          <w:lang w:val="pt-BR"/>
        </w:rPr>
        <w:t xml:space="preserve"> </w:t>
      </w:r>
      <w:r w:rsidR="00FB4401" w:rsidRPr="002F4565">
        <w:rPr>
          <w:lang w:val="pt-BR"/>
        </w:rPr>
        <w:t>alimentos saudáveis</w:t>
      </w:r>
      <w:r w:rsidRPr="002F4565">
        <w:rPr>
          <w:lang w:val="pt-BR"/>
        </w:rPr>
        <w:t xml:space="preserve"> </w:t>
      </w:r>
      <w:r w:rsidR="00072E1E" w:rsidRPr="002F4565">
        <w:rPr>
          <w:lang w:val="pt-BR"/>
        </w:rPr>
        <w:t>de maneira adaptada para as crianças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B. </w:t>
      </w:r>
      <w:r w:rsidR="00072E1E" w:rsidRPr="002F4565">
        <w:rPr>
          <w:lang w:val="pt-BR"/>
        </w:rPr>
        <w:t xml:space="preserve">Políticas </w:t>
      </w:r>
      <w:r w:rsidR="00413531" w:rsidRPr="002F4565">
        <w:rPr>
          <w:lang w:val="pt-BR"/>
        </w:rPr>
        <w:t>f</w:t>
      </w:r>
      <w:r w:rsidR="00072E1E" w:rsidRPr="002F4565">
        <w:rPr>
          <w:lang w:val="pt-BR"/>
        </w:rPr>
        <w:t>iscais</w:t>
      </w:r>
    </w:p>
    <w:p w:rsidR="00115B91" w:rsidRPr="002F4565" w:rsidRDefault="00115B91" w:rsidP="0051636A">
      <w:pPr>
        <w:spacing w:before="120" w:after="0" w:line="240" w:lineRule="auto"/>
        <w:rPr>
          <w:lang w:val="pt-BR"/>
        </w:rPr>
      </w:pPr>
      <w:r w:rsidRPr="002F4565">
        <w:rPr>
          <w:lang w:val="pt-BR"/>
        </w:rPr>
        <w:t xml:space="preserve">19. </w:t>
      </w:r>
      <w:r w:rsidR="00072E1E" w:rsidRPr="002F4565">
        <w:rPr>
          <w:lang w:val="pt-BR"/>
        </w:rPr>
        <w:t xml:space="preserve">Para reduzir a ingestão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072E1E"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072E1E" w:rsidRPr="002F4565">
        <w:rPr>
          <w:lang w:val="pt-BR"/>
        </w:rPr>
        <w:t>adotar</w:t>
      </w:r>
      <w:r w:rsidRPr="002F4565">
        <w:rPr>
          <w:lang w:val="pt-BR"/>
        </w:rPr>
        <w:t xml:space="preserve"> </w:t>
      </w:r>
      <w:r w:rsidR="0049090C" w:rsidRPr="002F4565">
        <w:rPr>
          <w:lang w:val="pt-BR"/>
        </w:rPr>
        <w:t>políticas</w:t>
      </w:r>
      <w:r w:rsidRPr="002F4565">
        <w:rPr>
          <w:lang w:val="pt-BR"/>
        </w:rPr>
        <w:t xml:space="preserve"> </w:t>
      </w:r>
      <w:r w:rsidR="00072E1E" w:rsidRPr="002F4565">
        <w:rPr>
          <w:lang w:val="pt-BR"/>
        </w:rPr>
        <w:t xml:space="preserve">para criar desincentivos </w:t>
      </w:r>
      <w:r w:rsidR="00413531" w:rsidRPr="002F4565">
        <w:rPr>
          <w:lang w:val="pt-BR"/>
        </w:rPr>
        <w:t>a</w:t>
      </w:r>
      <w:r w:rsidR="00072E1E" w:rsidRPr="002F4565">
        <w:rPr>
          <w:lang w:val="pt-BR"/>
        </w:rPr>
        <w:t>o consumo de tais alimentos</w:t>
      </w:r>
      <w:r w:rsidRPr="002F4565">
        <w:rPr>
          <w:lang w:val="pt-BR"/>
        </w:rPr>
        <w:t xml:space="preserve">. </w:t>
      </w:r>
      <w:r w:rsidR="00624BDC" w:rsidRPr="002F4565">
        <w:rPr>
          <w:lang w:val="pt-BR"/>
        </w:rPr>
        <w:t>Por exemplo</w:t>
      </w:r>
      <w:r w:rsidRPr="002F4565">
        <w:rPr>
          <w:lang w:val="pt-BR"/>
        </w:rPr>
        <w:t xml:space="preserve">, </w:t>
      </w:r>
      <w:r w:rsidR="00072E1E" w:rsidRPr="002F4565">
        <w:rPr>
          <w:lang w:val="pt-BR"/>
        </w:rPr>
        <w:t>alguns Estados</w:t>
      </w:r>
      <w:r w:rsidRPr="002F4565">
        <w:rPr>
          <w:lang w:val="pt-BR"/>
        </w:rPr>
        <w:t xml:space="preserve"> </w:t>
      </w:r>
      <w:r w:rsidR="00145095" w:rsidRPr="002F4565">
        <w:rPr>
          <w:lang w:val="pt-BR"/>
        </w:rPr>
        <w:t xml:space="preserve">lançaram um imposto sobre consumo para </w:t>
      </w:r>
      <w:r w:rsidR="00802E44" w:rsidRPr="002F4565">
        <w:rPr>
          <w:lang w:val="pt-BR"/>
        </w:rPr>
        <w:t>bebida</w:t>
      </w:r>
      <w:r w:rsidRPr="002F4565">
        <w:rPr>
          <w:lang w:val="pt-BR"/>
        </w:rPr>
        <w:t xml:space="preserve">s </w:t>
      </w:r>
      <w:r w:rsidR="00145095" w:rsidRPr="002F4565">
        <w:rPr>
          <w:lang w:val="pt-BR"/>
        </w:rPr>
        <w:t xml:space="preserve">adoçadas com açúcar para conter a </w:t>
      </w:r>
      <w:r w:rsidR="0040430A" w:rsidRPr="002F4565">
        <w:rPr>
          <w:lang w:val="pt-BR"/>
        </w:rPr>
        <w:t>epidemia</w:t>
      </w:r>
      <w:r w:rsidR="00145095" w:rsidRPr="002F4565">
        <w:rPr>
          <w:lang w:val="pt-BR"/>
        </w:rPr>
        <w:t xml:space="preserve"> de obesidade</w:t>
      </w:r>
      <w:r w:rsidRPr="002F4565">
        <w:rPr>
          <w:lang w:val="pt-BR"/>
        </w:rPr>
        <w:t xml:space="preserve">, </w:t>
      </w:r>
      <w:r w:rsidR="00145095" w:rsidRPr="002F4565">
        <w:rPr>
          <w:lang w:val="pt-BR"/>
        </w:rPr>
        <w:t xml:space="preserve">sendo que </w:t>
      </w:r>
      <w:r w:rsidR="00413531" w:rsidRPr="002F4565">
        <w:rPr>
          <w:lang w:val="pt-BR"/>
        </w:rPr>
        <w:t xml:space="preserve">a </w:t>
      </w:r>
      <w:r w:rsidR="00B95CF1" w:rsidRPr="002F4565">
        <w:rPr>
          <w:lang w:val="pt-BR"/>
        </w:rPr>
        <w:t xml:space="preserve">receita obtida com as </w:t>
      </w:r>
      <w:r w:rsidR="007D3BE3" w:rsidRPr="002F4565">
        <w:rPr>
          <w:lang w:val="pt-BR"/>
        </w:rPr>
        <w:t>vendas</w:t>
      </w:r>
      <w:r w:rsidRPr="002F4565">
        <w:rPr>
          <w:lang w:val="pt-BR"/>
        </w:rPr>
        <w:t xml:space="preserve"> </w:t>
      </w:r>
      <w:r w:rsidR="00B95CF1" w:rsidRPr="002F4565">
        <w:rPr>
          <w:lang w:val="pt-BR"/>
        </w:rPr>
        <w:t xml:space="preserve">deveria ser aplicada para o fornecimento de água </w:t>
      </w:r>
      <w:proofErr w:type="gramStart"/>
      <w:r w:rsidR="00B95CF1" w:rsidRPr="002F4565">
        <w:rPr>
          <w:lang w:val="pt-BR"/>
        </w:rPr>
        <w:t>potável</w:t>
      </w:r>
      <w:r w:rsidRPr="002F4565">
        <w:rPr>
          <w:lang w:val="pt-BR"/>
        </w:rPr>
        <w:t>.</w:t>
      </w:r>
      <w:proofErr w:type="gramEnd"/>
      <w:r w:rsidRPr="002F4565">
        <w:rPr>
          <w:vertAlign w:val="superscript"/>
          <w:lang w:val="pt-BR"/>
        </w:rPr>
        <w:t>34</w:t>
      </w:r>
      <w:r w:rsidRPr="002F4565">
        <w:rPr>
          <w:lang w:val="pt-BR"/>
        </w:rPr>
        <w:t xml:space="preserve"> </w:t>
      </w:r>
      <w:r w:rsidR="00FB4DE4" w:rsidRPr="002F4565">
        <w:rPr>
          <w:lang w:val="pt-BR"/>
        </w:rPr>
        <w:t>No entanto</w:t>
      </w:r>
      <w:r w:rsidRPr="002F4565">
        <w:rPr>
          <w:lang w:val="pt-BR"/>
        </w:rPr>
        <w:t xml:space="preserve">, </w:t>
      </w:r>
      <w:r w:rsidR="00B95CF1" w:rsidRPr="002F4565">
        <w:rPr>
          <w:lang w:val="pt-BR"/>
        </w:rPr>
        <w:t xml:space="preserve">o mero aumento do preço dos </w:t>
      </w:r>
      <w:r w:rsidR="00261A8A" w:rsidRPr="002F4565">
        <w:rPr>
          <w:lang w:val="pt-BR"/>
        </w:rPr>
        <w:t>alimentos pouco saudáveis</w:t>
      </w:r>
      <w:r w:rsidRPr="002F4565">
        <w:rPr>
          <w:lang w:val="pt-BR"/>
        </w:rPr>
        <w:t xml:space="preserve"> </w:t>
      </w:r>
      <w:r w:rsidR="00B95CF1" w:rsidRPr="002F4565">
        <w:rPr>
          <w:lang w:val="pt-BR"/>
        </w:rPr>
        <w:t xml:space="preserve">pode ter um efeito </w:t>
      </w:r>
      <w:r w:rsidRPr="002F4565">
        <w:rPr>
          <w:lang w:val="pt-BR"/>
        </w:rPr>
        <w:t>punitiv</w:t>
      </w:r>
      <w:r w:rsidR="00B95CF1" w:rsidRPr="002F4565">
        <w:rPr>
          <w:lang w:val="pt-BR"/>
        </w:rPr>
        <w:t>o</w:t>
      </w:r>
      <w:r w:rsidRPr="002F4565">
        <w:rPr>
          <w:lang w:val="pt-BR"/>
        </w:rPr>
        <w:t xml:space="preserve"> </w:t>
      </w:r>
      <w:r w:rsidR="00B95CF1" w:rsidRPr="002F4565">
        <w:rPr>
          <w:lang w:val="pt-BR"/>
        </w:rPr>
        <w:t xml:space="preserve">nos </w:t>
      </w:r>
      <w:r w:rsidR="00802E44" w:rsidRPr="002F4565">
        <w:rPr>
          <w:lang w:val="pt-BR"/>
        </w:rPr>
        <w:t>grupos de baixa renda</w:t>
      </w:r>
      <w:r w:rsidRPr="002F4565">
        <w:rPr>
          <w:lang w:val="pt-BR"/>
        </w:rPr>
        <w:t>. Redu</w:t>
      </w:r>
      <w:r w:rsidR="00B95CF1" w:rsidRPr="002F4565">
        <w:rPr>
          <w:lang w:val="pt-BR"/>
        </w:rPr>
        <w:t xml:space="preserve">zir </w:t>
      </w:r>
      <w:r w:rsidR="00261A8A" w:rsidRPr="002F4565">
        <w:rPr>
          <w:lang w:val="pt-BR"/>
        </w:rPr>
        <w:t>o</w:t>
      </w:r>
      <w:r w:rsidRPr="002F4565">
        <w:rPr>
          <w:lang w:val="pt-BR"/>
        </w:rPr>
        <w:t xml:space="preserve"> </w:t>
      </w:r>
      <w:r w:rsidR="00B95CF1" w:rsidRPr="002F4565">
        <w:rPr>
          <w:lang w:val="pt-BR"/>
        </w:rPr>
        <w:t>preço</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alimento</w:t>
      </w:r>
      <w:r w:rsidR="00182B8E" w:rsidRPr="002F4565">
        <w:rPr>
          <w:lang w:val="pt-BR"/>
        </w:rPr>
        <w:t>s nutritivos</w:t>
      </w:r>
      <w:r w:rsidRPr="002F4565">
        <w:rPr>
          <w:lang w:val="pt-BR"/>
        </w:rPr>
        <w:t xml:space="preserve"> </w:t>
      </w:r>
      <w:r w:rsidR="00182B8E" w:rsidRPr="002F4565">
        <w:rPr>
          <w:lang w:val="pt-BR"/>
        </w:rPr>
        <w:t xml:space="preserve">a </w:t>
      </w:r>
      <w:r w:rsidR="003F41C2" w:rsidRPr="002F4565">
        <w:rPr>
          <w:lang w:val="pt-BR"/>
        </w:rPr>
        <w:t>níveis</w:t>
      </w:r>
      <w:r w:rsidRPr="002F4565">
        <w:rPr>
          <w:lang w:val="pt-BR"/>
        </w:rPr>
        <w:t xml:space="preserve"> </w:t>
      </w:r>
      <w:r w:rsidR="00182B8E" w:rsidRPr="002F4565">
        <w:rPr>
          <w:lang w:val="pt-BR"/>
        </w:rPr>
        <w:t xml:space="preserve">menores </w:t>
      </w:r>
      <w:r w:rsidR="003F41C2" w:rsidRPr="002F4565">
        <w:rPr>
          <w:lang w:val="pt-BR"/>
        </w:rPr>
        <w:t>ou</w:t>
      </w:r>
      <w:r w:rsidRPr="002F4565">
        <w:rPr>
          <w:lang w:val="pt-BR"/>
        </w:rPr>
        <w:t xml:space="preserve"> compar</w:t>
      </w:r>
      <w:r w:rsidR="00802E44" w:rsidRPr="002F4565">
        <w:rPr>
          <w:lang w:val="pt-BR"/>
        </w:rPr>
        <w:t>áveis</w:t>
      </w:r>
      <w:r w:rsidRPr="002F4565">
        <w:rPr>
          <w:lang w:val="pt-BR"/>
        </w:rPr>
        <w:t xml:space="preserve"> </w:t>
      </w:r>
      <w:r w:rsidR="00413531" w:rsidRPr="002F4565">
        <w:rPr>
          <w:lang w:val="pt-BR"/>
        </w:rPr>
        <w:t xml:space="preserve">aos </w:t>
      </w:r>
      <w:r w:rsidR="00182B8E" w:rsidRPr="002F4565">
        <w:rPr>
          <w:lang w:val="pt-BR"/>
        </w:rPr>
        <w:t xml:space="preserve">de </w:t>
      </w:r>
      <w:r w:rsidR="00261A8A" w:rsidRPr="002F4565">
        <w:rPr>
          <w:lang w:val="pt-BR"/>
        </w:rPr>
        <w:t>alimentos pouco saudáveis</w:t>
      </w:r>
      <w:r w:rsidRPr="002F4565">
        <w:rPr>
          <w:lang w:val="pt-BR"/>
        </w:rPr>
        <w:t xml:space="preserve"> </w:t>
      </w:r>
      <w:r w:rsidR="00182B8E" w:rsidRPr="002F4565">
        <w:rPr>
          <w:lang w:val="pt-BR"/>
        </w:rPr>
        <w:t xml:space="preserve">tornaria os </w:t>
      </w:r>
      <w:r w:rsidR="00FB4401" w:rsidRPr="002F4565">
        <w:rPr>
          <w:lang w:val="pt-BR"/>
        </w:rPr>
        <w:t>alimentos saudáveis</w:t>
      </w:r>
      <w:r w:rsidRPr="002F4565">
        <w:rPr>
          <w:lang w:val="pt-BR"/>
        </w:rPr>
        <w:t xml:space="preserve"> </w:t>
      </w:r>
      <w:r w:rsidR="00182B8E" w:rsidRPr="002F4565">
        <w:rPr>
          <w:lang w:val="pt-BR"/>
        </w:rPr>
        <w:t xml:space="preserve">mais </w:t>
      </w:r>
      <w:r w:rsidR="00182B8E" w:rsidRPr="002F4565">
        <w:rPr>
          <w:lang w:val="pt-BR"/>
        </w:rPr>
        <w:lastRenderedPageBreak/>
        <w:t>acessíveis</w:t>
      </w:r>
      <w:r w:rsidRPr="002F4565">
        <w:rPr>
          <w:lang w:val="pt-BR"/>
        </w:rPr>
        <w:t xml:space="preserve">. </w:t>
      </w:r>
      <w:r w:rsidR="00624BDC" w:rsidRPr="002F4565">
        <w:rPr>
          <w:lang w:val="pt-BR"/>
        </w:rPr>
        <w:t>Por exemplo</w:t>
      </w:r>
      <w:r w:rsidRPr="002F4565">
        <w:rPr>
          <w:lang w:val="pt-BR"/>
        </w:rPr>
        <w:t xml:space="preserve">, </w:t>
      </w:r>
      <w:r w:rsidR="00182B8E" w:rsidRPr="002F4565">
        <w:rPr>
          <w:lang w:val="pt-BR"/>
        </w:rPr>
        <w:t xml:space="preserve">os subsídios agrícolas que beneficiam os </w:t>
      </w:r>
      <w:r w:rsidR="00261A8A" w:rsidRPr="002F4565">
        <w:rPr>
          <w:lang w:val="pt-BR"/>
        </w:rPr>
        <w:t>alimentos pouco saudáveis</w:t>
      </w:r>
      <w:r w:rsidRPr="002F4565">
        <w:rPr>
          <w:lang w:val="pt-BR"/>
        </w:rPr>
        <w:t xml:space="preserve"> </w:t>
      </w:r>
      <w:r w:rsidR="00182B8E" w:rsidRPr="002F4565">
        <w:rPr>
          <w:lang w:val="pt-BR"/>
        </w:rPr>
        <w:t xml:space="preserve">poderiam ser </w:t>
      </w:r>
      <w:r w:rsidR="00413531" w:rsidRPr="002F4565">
        <w:rPr>
          <w:lang w:val="pt-BR"/>
        </w:rPr>
        <w:t xml:space="preserve">suspensos </w:t>
      </w:r>
      <w:r w:rsidR="0049090C" w:rsidRPr="002F4565">
        <w:rPr>
          <w:lang w:val="pt-BR"/>
        </w:rPr>
        <w:t>e</w:t>
      </w:r>
      <w:r w:rsidRPr="002F4565">
        <w:rPr>
          <w:lang w:val="pt-BR"/>
        </w:rPr>
        <w:t xml:space="preserve"> </w:t>
      </w:r>
      <w:r w:rsidR="00182B8E" w:rsidRPr="002F4565">
        <w:rPr>
          <w:lang w:val="pt-BR"/>
        </w:rPr>
        <w:t>passados para subsídios</w:t>
      </w:r>
      <w:r w:rsidRPr="002F4565">
        <w:rPr>
          <w:lang w:val="pt-BR"/>
        </w:rPr>
        <w:t xml:space="preserve"> </w:t>
      </w:r>
      <w:r w:rsidR="00182B8E" w:rsidRPr="002F4565">
        <w:rPr>
          <w:lang w:val="pt-BR"/>
        </w:rPr>
        <w:t xml:space="preserve">para aumentar a </w:t>
      </w:r>
      <w:r w:rsidR="00F21F55" w:rsidRPr="002F4565">
        <w:rPr>
          <w:lang w:val="pt-BR"/>
        </w:rPr>
        <w:t>produção</w:t>
      </w:r>
      <w:r w:rsidRPr="002F4565">
        <w:rPr>
          <w:lang w:val="pt-BR"/>
        </w:rPr>
        <w:t xml:space="preserve"> </w:t>
      </w:r>
      <w:r w:rsidR="0049090C" w:rsidRPr="002F4565">
        <w:rPr>
          <w:lang w:val="pt-BR"/>
        </w:rPr>
        <w:t>de</w:t>
      </w:r>
      <w:r w:rsidRPr="002F4565">
        <w:rPr>
          <w:lang w:val="pt-BR"/>
        </w:rPr>
        <w:t xml:space="preserve"> </w:t>
      </w:r>
      <w:r w:rsidR="00182B8E" w:rsidRPr="002F4565">
        <w:rPr>
          <w:lang w:val="pt-BR"/>
        </w:rPr>
        <w:t>alimentos mais saudáveis</w:t>
      </w:r>
      <w:r w:rsidRPr="002F4565">
        <w:rPr>
          <w:lang w:val="pt-BR"/>
        </w:rPr>
        <w:t xml:space="preserve">. </w:t>
      </w:r>
      <w:r w:rsidR="00182B8E" w:rsidRPr="002F4565">
        <w:rPr>
          <w:lang w:val="pt-BR"/>
        </w:rPr>
        <w:t xml:space="preserve">Os </w:t>
      </w:r>
      <w:r w:rsidR="0049090C" w:rsidRPr="002F4565">
        <w:rPr>
          <w:lang w:val="pt-BR"/>
        </w:rPr>
        <w:t>Estados</w:t>
      </w:r>
      <w:r w:rsidRPr="002F4565">
        <w:rPr>
          <w:lang w:val="pt-BR"/>
        </w:rPr>
        <w:t xml:space="preserve"> </w:t>
      </w:r>
      <w:r w:rsidR="00182B8E" w:rsidRPr="002F4565">
        <w:rPr>
          <w:lang w:val="pt-BR"/>
        </w:rPr>
        <w:t>poderiam adotar medidas</w:t>
      </w:r>
      <w:r w:rsidRPr="002F4565">
        <w:rPr>
          <w:lang w:val="pt-BR"/>
        </w:rPr>
        <w:t xml:space="preserve">, </w:t>
      </w:r>
      <w:r w:rsidR="00182B8E" w:rsidRPr="002F4565">
        <w:rPr>
          <w:lang w:val="pt-BR"/>
        </w:rPr>
        <w:t xml:space="preserve">tais como </w:t>
      </w:r>
      <w:r w:rsidR="00072E1E" w:rsidRPr="002F4565">
        <w:rPr>
          <w:lang w:val="pt-BR"/>
        </w:rPr>
        <w:t>benefício</w:t>
      </w:r>
      <w:r w:rsidRPr="002F4565">
        <w:rPr>
          <w:lang w:val="pt-BR"/>
        </w:rPr>
        <w:t xml:space="preserve">s </w:t>
      </w:r>
      <w:r w:rsidR="00182B8E" w:rsidRPr="002F4565">
        <w:rPr>
          <w:lang w:val="pt-BR"/>
        </w:rPr>
        <w:t xml:space="preserve">fiscais </w:t>
      </w:r>
      <w:r w:rsidR="0049090C" w:rsidRPr="002F4565">
        <w:rPr>
          <w:lang w:val="pt-BR"/>
        </w:rPr>
        <w:t>e</w:t>
      </w:r>
      <w:r w:rsidRPr="002F4565">
        <w:rPr>
          <w:lang w:val="pt-BR"/>
        </w:rPr>
        <w:t xml:space="preserve"> </w:t>
      </w:r>
      <w:r w:rsidR="00182B8E" w:rsidRPr="002F4565">
        <w:rPr>
          <w:lang w:val="pt-BR"/>
        </w:rPr>
        <w:t>investimento</w:t>
      </w:r>
      <w:r w:rsidRPr="002F4565">
        <w:rPr>
          <w:lang w:val="pt-BR"/>
        </w:rPr>
        <w:t xml:space="preserve">s </w:t>
      </w:r>
      <w:r w:rsidR="00182B8E" w:rsidRPr="002F4565">
        <w:rPr>
          <w:lang w:val="pt-BR"/>
        </w:rPr>
        <w:t xml:space="preserve">voltados para a </w:t>
      </w:r>
      <w:r w:rsidR="00F21F55" w:rsidRPr="002F4565">
        <w:rPr>
          <w:lang w:val="pt-BR"/>
        </w:rPr>
        <w:t>produção</w:t>
      </w:r>
      <w:r w:rsidR="00182B8E" w:rsidRPr="002F4565">
        <w:rPr>
          <w:lang w:val="pt-BR"/>
        </w:rPr>
        <w:t xml:space="preserve"> agrícola</w:t>
      </w:r>
      <w:r w:rsidRPr="002F4565">
        <w:rPr>
          <w:lang w:val="pt-BR"/>
        </w:rPr>
        <w:t xml:space="preserve">, </w:t>
      </w:r>
      <w:r w:rsidR="00182B8E" w:rsidRPr="002F4565">
        <w:rPr>
          <w:lang w:val="pt-BR"/>
        </w:rPr>
        <w:t>para incentivar os produtores rurais</w:t>
      </w:r>
      <w:r w:rsidRPr="002F4565">
        <w:rPr>
          <w:lang w:val="pt-BR"/>
        </w:rPr>
        <w:t xml:space="preserve"> </w:t>
      </w:r>
      <w:r w:rsidR="00182B8E" w:rsidRPr="002F4565">
        <w:rPr>
          <w:lang w:val="pt-BR"/>
        </w:rPr>
        <w:t>a</w:t>
      </w:r>
      <w:r w:rsidRPr="002F4565">
        <w:rPr>
          <w:lang w:val="pt-BR"/>
        </w:rPr>
        <w:t xml:space="preserve"> produ</w:t>
      </w:r>
      <w:r w:rsidR="00182B8E" w:rsidRPr="002F4565">
        <w:rPr>
          <w:lang w:val="pt-BR"/>
        </w:rPr>
        <w:t>zir alimentos mais saudáveis</w:t>
      </w:r>
      <w:r w:rsidRPr="002F4565">
        <w:rPr>
          <w:lang w:val="pt-BR"/>
        </w:rPr>
        <w:t xml:space="preserve"> </w:t>
      </w:r>
      <w:r w:rsidR="00182B8E" w:rsidRPr="002F4565">
        <w:rPr>
          <w:lang w:val="pt-BR"/>
        </w:rPr>
        <w:t xml:space="preserve">como </w:t>
      </w:r>
      <w:r w:rsidR="00B5729E" w:rsidRPr="002F4565">
        <w:rPr>
          <w:lang w:val="pt-BR"/>
        </w:rPr>
        <w:t>legumes</w:t>
      </w:r>
      <w:r w:rsidRPr="002F4565">
        <w:rPr>
          <w:lang w:val="pt-BR"/>
        </w:rPr>
        <w:t xml:space="preserve"> </w:t>
      </w:r>
      <w:r w:rsidR="0049090C" w:rsidRPr="002F4565">
        <w:rPr>
          <w:lang w:val="pt-BR"/>
        </w:rPr>
        <w:t>e</w:t>
      </w:r>
      <w:r w:rsidRPr="002F4565">
        <w:rPr>
          <w:lang w:val="pt-BR"/>
        </w:rPr>
        <w:t xml:space="preserve"> </w:t>
      </w:r>
      <w:r w:rsidR="00182B8E" w:rsidRPr="002F4565">
        <w:rPr>
          <w:lang w:val="pt-BR"/>
        </w:rPr>
        <w:t>fruta</w:t>
      </w:r>
      <w:r w:rsidRPr="002F4565">
        <w:rPr>
          <w:lang w:val="pt-BR"/>
        </w:rPr>
        <w:t>s (A/HRC/19/59).</w:t>
      </w:r>
    </w:p>
    <w:p w:rsidR="00115B91" w:rsidRPr="002F4565" w:rsidRDefault="00115B91" w:rsidP="0051636A">
      <w:pPr>
        <w:spacing w:before="120" w:after="0" w:line="240" w:lineRule="auto"/>
        <w:rPr>
          <w:lang w:val="pt-BR"/>
        </w:rPr>
      </w:pPr>
      <w:r w:rsidRPr="002F4565">
        <w:rPr>
          <w:lang w:val="pt-BR"/>
        </w:rPr>
        <w:t xml:space="preserve">20. </w:t>
      </w:r>
      <w:r w:rsidR="00182B8E" w:rsidRPr="002F4565">
        <w:rPr>
          <w:lang w:val="pt-BR"/>
        </w:rPr>
        <w:t>P</w:t>
      </w:r>
      <w:r w:rsidR="0049090C" w:rsidRPr="002F4565">
        <w:rPr>
          <w:lang w:val="pt-BR"/>
        </w:rPr>
        <w:t>olíticas</w:t>
      </w:r>
      <w:r w:rsidRPr="002F4565">
        <w:rPr>
          <w:lang w:val="pt-BR"/>
        </w:rPr>
        <w:t xml:space="preserve"> </w:t>
      </w:r>
      <w:r w:rsidR="00182B8E" w:rsidRPr="002F4565">
        <w:rPr>
          <w:lang w:val="pt-BR"/>
        </w:rPr>
        <w:t xml:space="preserve">de </w:t>
      </w:r>
      <w:r w:rsidR="00413531" w:rsidRPr="002F4565">
        <w:rPr>
          <w:lang w:val="pt-BR"/>
        </w:rPr>
        <w:t>concorrência pública (</w:t>
      </w:r>
      <w:r w:rsidR="00182B8E" w:rsidRPr="002F4565">
        <w:rPr>
          <w:lang w:val="pt-BR"/>
        </w:rPr>
        <w:t>licitação</w:t>
      </w:r>
      <w:r w:rsidR="00413531" w:rsidRPr="002F4565">
        <w:rPr>
          <w:lang w:val="pt-BR"/>
        </w:rPr>
        <w:t>)</w:t>
      </w:r>
      <w:r w:rsidR="00182B8E" w:rsidRPr="002F4565">
        <w:rPr>
          <w:lang w:val="pt-BR"/>
        </w:rPr>
        <w:t xml:space="preserve"> poderiam ser</w:t>
      </w:r>
      <w:r w:rsidRPr="002F4565">
        <w:rPr>
          <w:lang w:val="pt-BR"/>
        </w:rPr>
        <w:t xml:space="preserve"> </w:t>
      </w:r>
      <w:r w:rsidR="00182B8E" w:rsidRPr="002F4565">
        <w:rPr>
          <w:lang w:val="pt-BR"/>
        </w:rPr>
        <w:t>usadas para incentivar os produtores rurais</w:t>
      </w:r>
      <w:r w:rsidRPr="002F4565">
        <w:rPr>
          <w:lang w:val="pt-BR"/>
        </w:rPr>
        <w:t xml:space="preserve"> </w:t>
      </w:r>
      <w:r w:rsidR="00182B8E" w:rsidRPr="002F4565">
        <w:rPr>
          <w:lang w:val="pt-BR"/>
        </w:rPr>
        <w:t>a</w:t>
      </w:r>
      <w:r w:rsidRPr="002F4565">
        <w:rPr>
          <w:lang w:val="pt-BR"/>
        </w:rPr>
        <w:t xml:space="preserve"> </w:t>
      </w:r>
      <w:r w:rsidR="00182B8E" w:rsidRPr="002F4565">
        <w:rPr>
          <w:lang w:val="pt-BR"/>
        </w:rPr>
        <w:t>produzir</w:t>
      </w:r>
      <w:r w:rsidRPr="002F4565">
        <w:rPr>
          <w:lang w:val="pt-BR"/>
        </w:rPr>
        <w:t xml:space="preserve"> </w:t>
      </w:r>
      <w:r w:rsidR="00182B8E" w:rsidRPr="002F4565">
        <w:rPr>
          <w:lang w:val="pt-BR"/>
        </w:rPr>
        <w:t>fruta</w:t>
      </w:r>
      <w:r w:rsidRPr="002F4565">
        <w:rPr>
          <w:lang w:val="pt-BR"/>
        </w:rPr>
        <w:t xml:space="preserve">s </w:t>
      </w:r>
      <w:r w:rsidR="0049090C" w:rsidRPr="002F4565">
        <w:rPr>
          <w:lang w:val="pt-BR"/>
        </w:rPr>
        <w:t>e</w:t>
      </w:r>
      <w:r w:rsidRPr="002F4565">
        <w:rPr>
          <w:lang w:val="pt-BR"/>
        </w:rPr>
        <w:t xml:space="preserve"> </w:t>
      </w:r>
      <w:r w:rsidR="00182B8E" w:rsidRPr="002F4565">
        <w:rPr>
          <w:lang w:val="pt-BR"/>
        </w:rPr>
        <w:t>legumes</w:t>
      </w:r>
      <w:r w:rsidRPr="002F4565">
        <w:rPr>
          <w:lang w:val="pt-BR"/>
        </w:rPr>
        <w:t>, garant</w:t>
      </w:r>
      <w:r w:rsidR="00182B8E" w:rsidRPr="002F4565">
        <w:rPr>
          <w:lang w:val="pt-BR"/>
        </w:rPr>
        <w:t>indo lucros</w:t>
      </w:r>
      <w:r w:rsidRPr="002F4565">
        <w:rPr>
          <w:lang w:val="pt-BR"/>
        </w:rPr>
        <w:t xml:space="preserve"> </w:t>
      </w:r>
      <w:r w:rsidR="0049090C" w:rsidRPr="002F4565">
        <w:rPr>
          <w:lang w:val="pt-BR"/>
        </w:rPr>
        <w:t>e</w:t>
      </w:r>
      <w:r w:rsidRPr="002F4565">
        <w:rPr>
          <w:lang w:val="pt-BR"/>
        </w:rPr>
        <w:t xml:space="preserve"> </w:t>
      </w:r>
      <w:r w:rsidR="00182B8E" w:rsidRPr="002F4565">
        <w:rPr>
          <w:lang w:val="pt-BR"/>
        </w:rPr>
        <w:t xml:space="preserve">tornando </w:t>
      </w:r>
      <w:r w:rsidR="0040430A" w:rsidRPr="002F4565">
        <w:rPr>
          <w:lang w:val="pt-BR"/>
        </w:rPr>
        <w:t>dietas</w:t>
      </w:r>
      <w:r w:rsidRPr="002F4565">
        <w:rPr>
          <w:lang w:val="pt-BR"/>
        </w:rPr>
        <w:t xml:space="preserve"> </w:t>
      </w:r>
      <w:r w:rsidR="00182B8E" w:rsidRPr="002F4565">
        <w:rPr>
          <w:lang w:val="pt-BR"/>
        </w:rPr>
        <w:t>mais nutritivas acessíveis</w:t>
      </w:r>
      <w:r w:rsidRPr="002F4565">
        <w:rPr>
          <w:lang w:val="pt-BR"/>
        </w:rPr>
        <w:t xml:space="preserve"> </w:t>
      </w:r>
      <w:r w:rsidR="00182B8E" w:rsidRPr="002F4565">
        <w:rPr>
          <w:lang w:val="pt-BR"/>
        </w:rPr>
        <w:t xml:space="preserve">para </w:t>
      </w:r>
      <w:r w:rsidR="00802E44" w:rsidRPr="002F4565">
        <w:rPr>
          <w:lang w:val="pt-BR"/>
        </w:rPr>
        <w:t>grupos de baixa renda</w:t>
      </w:r>
      <w:r w:rsidRPr="002F4565">
        <w:rPr>
          <w:lang w:val="pt-BR"/>
        </w:rPr>
        <w:t xml:space="preserve">. </w:t>
      </w:r>
      <w:r w:rsidR="00624BDC" w:rsidRPr="002F4565">
        <w:rPr>
          <w:lang w:val="pt-BR"/>
        </w:rPr>
        <w:t>Por exemplo</w:t>
      </w:r>
      <w:r w:rsidRPr="002F4565">
        <w:rPr>
          <w:lang w:val="pt-BR"/>
        </w:rPr>
        <w:t xml:space="preserve">, </w:t>
      </w:r>
      <w:r w:rsidR="00182B8E" w:rsidRPr="002F4565">
        <w:rPr>
          <w:lang w:val="pt-BR"/>
        </w:rPr>
        <w:t xml:space="preserve">alguns </w:t>
      </w:r>
      <w:r w:rsidR="00FB4DE4" w:rsidRPr="002F4565">
        <w:rPr>
          <w:lang w:val="pt-BR"/>
        </w:rPr>
        <w:t>países</w:t>
      </w:r>
      <w:r w:rsidRPr="002F4565">
        <w:rPr>
          <w:lang w:val="pt-BR"/>
        </w:rPr>
        <w:t xml:space="preserve"> </w:t>
      </w:r>
      <w:r w:rsidR="00182B8E" w:rsidRPr="002F4565">
        <w:rPr>
          <w:lang w:val="pt-BR"/>
        </w:rPr>
        <w:t>compram grãos</w:t>
      </w:r>
      <w:r w:rsidRPr="002F4565">
        <w:rPr>
          <w:lang w:val="pt-BR"/>
        </w:rPr>
        <w:t xml:space="preserve"> a </w:t>
      </w:r>
      <w:r w:rsidR="00182B8E" w:rsidRPr="002F4565">
        <w:rPr>
          <w:lang w:val="pt-BR"/>
        </w:rPr>
        <w:t xml:space="preserve">taxas de </w:t>
      </w:r>
      <w:r w:rsidR="00FB4401" w:rsidRPr="002F4565">
        <w:rPr>
          <w:lang w:val="pt-BR"/>
        </w:rPr>
        <w:t>mercado</w:t>
      </w:r>
      <w:r w:rsidRPr="002F4565">
        <w:rPr>
          <w:lang w:val="pt-BR"/>
        </w:rPr>
        <w:t xml:space="preserve"> diret</w:t>
      </w:r>
      <w:r w:rsidR="00182B8E" w:rsidRPr="002F4565">
        <w:rPr>
          <w:lang w:val="pt-BR"/>
        </w:rPr>
        <w:t>amente de produtores rurais</w:t>
      </w:r>
      <w:r w:rsidRPr="002F4565">
        <w:rPr>
          <w:lang w:val="pt-BR"/>
        </w:rPr>
        <w:t xml:space="preserve"> </w:t>
      </w:r>
      <w:r w:rsidR="006A31E1" w:rsidRPr="002F4565">
        <w:rPr>
          <w:lang w:val="pt-BR"/>
        </w:rPr>
        <w:t>e</w:t>
      </w:r>
      <w:r w:rsidRPr="002F4565">
        <w:rPr>
          <w:lang w:val="pt-BR"/>
        </w:rPr>
        <w:t xml:space="preserve"> </w:t>
      </w:r>
      <w:r w:rsidR="00182B8E" w:rsidRPr="002F4565">
        <w:rPr>
          <w:lang w:val="pt-BR"/>
        </w:rPr>
        <w:t>depois vendem a</w:t>
      </w:r>
      <w:r w:rsidRPr="002F4565">
        <w:rPr>
          <w:lang w:val="pt-BR"/>
        </w:rPr>
        <w:t xml:space="preserve"> </w:t>
      </w:r>
      <w:r w:rsidR="00802E44" w:rsidRPr="002F4565">
        <w:rPr>
          <w:lang w:val="pt-BR"/>
        </w:rPr>
        <w:t>grupos de baixa renda</w:t>
      </w:r>
      <w:r w:rsidRPr="002F4565">
        <w:rPr>
          <w:lang w:val="pt-BR"/>
        </w:rPr>
        <w:t xml:space="preserve"> a </w:t>
      </w:r>
      <w:r w:rsidR="0040430A" w:rsidRPr="002F4565">
        <w:rPr>
          <w:lang w:val="pt-BR"/>
        </w:rPr>
        <w:t>taxas</w:t>
      </w:r>
      <w:r w:rsidR="00182B8E" w:rsidRPr="002F4565">
        <w:rPr>
          <w:lang w:val="pt-BR"/>
        </w:rPr>
        <w:t xml:space="preserve"> acessíveis</w:t>
      </w:r>
      <w:r w:rsidRPr="002F4565">
        <w:rPr>
          <w:lang w:val="pt-BR"/>
        </w:rPr>
        <w:t xml:space="preserve">, </w:t>
      </w:r>
      <w:r w:rsidR="00182B8E" w:rsidRPr="002F4565">
        <w:rPr>
          <w:lang w:val="pt-BR"/>
        </w:rPr>
        <w:t>equilibrando os interesses</w:t>
      </w:r>
      <w:r w:rsidRPr="002F4565">
        <w:rPr>
          <w:lang w:val="pt-BR"/>
        </w:rPr>
        <w:t xml:space="preserve"> </w:t>
      </w:r>
      <w:r w:rsidR="0049090C" w:rsidRPr="002F4565">
        <w:rPr>
          <w:lang w:val="pt-BR"/>
        </w:rPr>
        <w:t>d</w:t>
      </w:r>
      <w:r w:rsidR="00261A8A" w:rsidRPr="002F4565">
        <w:rPr>
          <w:lang w:val="pt-BR"/>
        </w:rPr>
        <w:t>o</w:t>
      </w:r>
      <w:r w:rsidRPr="002F4565">
        <w:rPr>
          <w:lang w:val="pt-BR"/>
        </w:rPr>
        <w:t xml:space="preserve"> </w:t>
      </w:r>
      <w:r w:rsidR="00182B8E" w:rsidRPr="002F4565">
        <w:rPr>
          <w:lang w:val="pt-BR"/>
        </w:rPr>
        <w:t>produtor rural</w:t>
      </w:r>
      <w:r w:rsidRPr="002F4565">
        <w:rPr>
          <w:lang w:val="pt-BR"/>
        </w:rPr>
        <w:t xml:space="preserve"> </w:t>
      </w:r>
      <w:r w:rsidR="007D4857" w:rsidRPr="002F4565">
        <w:rPr>
          <w:lang w:val="pt-BR"/>
        </w:rPr>
        <w:t xml:space="preserve">com os do grupo </w:t>
      </w:r>
      <w:r w:rsidRPr="002F4565">
        <w:rPr>
          <w:lang w:val="pt-BR"/>
        </w:rPr>
        <w:t>vulner</w:t>
      </w:r>
      <w:r w:rsidR="00802E44" w:rsidRPr="002F4565">
        <w:rPr>
          <w:lang w:val="pt-BR"/>
        </w:rPr>
        <w:t>áve</w:t>
      </w:r>
      <w:r w:rsidR="007D4857" w:rsidRPr="002F4565">
        <w:rPr>
          <w:lang w:val="pt-BR"/>
        </w:rPr>
        <w:t>l</w:t>
      </w:r>
      <w:r w:rsidRPr="002F4565">
        <w:rPr>
          <w:lang w:val="pt-BR"/>
        </w:rPr>
        <w:t xml:space="preserve">. </w:t>
      </w:r>
      <w:r w:rsidR="007D4857" w:rsidRPr="002F4565">
        <w:rPr>
          <w:lang w:val="pt-BR"/>
        </w:rPr>
        <w:t xml:space="preserve">Outra medida </w:t>
      </w:r>
      <w:r w:rsidR="00072E1E" w:rsidRPr="002F4565">
        <w:rPr>
          <w:lang w:val="pt-BR"/>
        </w:rPr>
        <w:t>adota</w:t>
      </w:r>
      <w:r w:rsidR="007D4857" w:rsidRPr="002F4565">
        <w:rPr>
          <w:lang w:val="pt-BR"/>
        </w:rPr>
        <w:t xml:space="preserve">da pelos </w:t>
      </w:r>
      <w:r w:rsidR="0049090C" w:rsidRPr="002F4565">
        <w:rPr>
          <w:lang w:val="pt-BR"/>
        </w:rPr>
        <w:t>Estados</w:t>
      </w:r>
      <w:r w:rsidRPr="002F4565">
        <w:rPr>
          <w:lang w:val="pt-BR"/>
        </w:rPr>
        <w:t xml:space="preserve"> </w:t>
      </w:r>
      <w:r w:rsidR="007D4857" w:rsidRPr="002F4565">
        <w:rPr>
          <w:lang w:val="pt-BR"/>
        </w:rPr>
        <w:t xml:space="preserve">é incentivar a atividade rural </w:t>
      </w:r>
      <w:r w:rsidR="00413531" w:rsidRPr="002F4565">
        <w:rPr>
          <w:lang w:val="pt-BR"/>
        </w:rPr>
        <w:t xml:space="preserve">adaptada ao local </w:t>
      </w:r>
      <w:r w:rsidR="0049090C" w:rsidRPr="002F4565">
        <w:rPr>
          <w:lang w:val="pt-BR"/>
        </w:rPr>
        <w:t>e</w:t>
      </w:r>
      <w:r w:rsidRPr="002F4565">
        <w:rPr>
          <w:lang w:val="pt-BR"/>
        </w:rPr>
        <w:t xml:space="preserve"> </w:t>
      </w:r>
      <w:r w:rsidR="007D4857" w:rsidRPr="002F4565">
        <w:rPr>
          <w:lang w:val="pt-BR"/>
        </w:rPr>
        <w:t xml:space="preserve">depois comprar </w:t>
      </w:r>
      <w:r w:rsidR="00261A8A" w:rsidRPr="002F4565">
        <w:rPr>
          <w:lang w:val="pt-BR"/>
        </w:rPr>
        <w:t>o</w:t>
      </w:r>
      <w:r w:rsidR="007D4857" w:rsidRPr="002F4565">
        <w:rPr>
          <w:lang w:val="pt-BR"/>
        </w:rPr>
        <w:t>s</w:t>
      </w:r>
      <w:r w:rsidRPr="002F4565">
        <w:rPr>
          <w:lang w:val="pt-BR"/>
        </w:rPr>
        <w:t xml:space="preserve"> </w:t>
      </w:r>
      <w:r w:rsidR="00182B8E" w:rsidRPr="002F4565">
        <w:rPr>
          <w:lang w:val="pt-BR"/>
        </w:rPr>
        <w:t>produ</w:t>
      </w:r>
      <w:r w:rsidR="007D4857" w:rsidRPr="002F4565">
        <w:rPr>
          <w:lang w:val="pt-BR"/>
        </w:rPr>
        <w:t xml:space="preserve">tos para </w:t>
      </w:r>
      <w:r w:rsidR="00072E1E" w:rsidRPr="002F4565">
        <w:rPr>
          <w:lang w:val="pt-BR"/>
        </w:rPr>
        <w:t>escola</w:t>
      </w:r>
      <w:r w:rsidRPr="002F4565">
        <w:rPr>
          <w:lang w:val="pt-BR"/>
        </w:rPr>
        <w:t xml:space="preserve">s. </w:t>
      </w:r>
      <w:r w:rsidR="007D4857" w:rsidRPr="002F4565">
        <w:rPr>
          <w:lang w:val="pt-BR"/>
        </w:rPr>
        <w:t xml:space="preserve">Isto </w:t>
      </w:r>
      <w:r w:rsidR="005A25F5" w:rsidRPr="002F4565">
        <w:rPr>
          <w:lang w:val="pt-BR"/>
        </w:rPr>
        <w:t>não</w:t>
      </w:r>
      <w:r w:rsidRPr="002F4565">
        <w:rPr>
          <w:lang w:val="pt-BR"/>
        </w:rPr>
        <w:t xml:space="preserve"> </w:t>
      </w:r>
      <w:r w:rsidR="007D4857" w:rsidRPr="002F4565">
        <w:rPr>
          <w:lang w:val="pt-BR"/>
        </w:rPr>
        <w:t xml:space="preserve">apenas melhora o </w:t>
      </w:r>
      <w:r w:rsidR="00E415D7" w:rsidRPr="002F4565">
        <w:rPr>
          <w:lang w:val="pt-BR"/>
        </w:rPr>
        <w:t>desenvolvimento</w:t>
      </w:r>
      <w:r w:rsidR="007D4857" w:rsidRPr="002F4565">
        <w:rPr>
          <w:lang w:val="pt-BR"/>
        </w:rPr>
        <w:t xml:space="preserve"> econômico local</w:t>
      </w:r>
      <w:r w:rsidRPr="002F4565">
        <w:rPr>
          <w:lang w:val="pt-BR"/>
        </w:rPr>
        <w:t xml:space="preserve"> </w:t>
      </w:r>
      <w:r w:rsidR="007D4857" w:rsidRPr="002F4565">
        <w:rPr>
          <w:lang w:val="pt-BR"/>
        </w:rPr>
        <w:t xml:space="preserve">como </w:t>
      </w:r>
      <w:r w:rsidR="00F21F55" w:rsidRPr="002F4565">
        <w:rPr>
          <w:lang w:val="pt-BR"/>
        </w:rPr>
        <w:t>também</w:t>
      </w:r>
      <w:r w:rsidRPr="002F4565">
        <w:rPr>
          <w:lang w:val="pt-BR"/>
        </w:rPr>
        <w:t xml:space="preserve"> </w:t>
      </w:r>
      <w:r w:rsidR="007D4857" w:rsidRPr="002F4565">
        <w:rPr>
          <w:lang w:val="pt-BR"/>
        </w:rPr>
        <w:t xml:space="preserve">garante a </w:t>
      </w:r>
      <w:r w:rsidR="00F21F55" w:rsidRPr="002F4565">
        <w:rPr>
          <w:lang w:val="pt-BR"/>
        </w:rPr>
        <w:t>redução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413531" w:rsidRPr="002F4565">
        <w:rPr>
          <w:lang w:val="pt-BR"/>
        </w:rPr>
        <w:t xml:space="preserve">para </w:t>
      </w:r>
      <w:r w:rsidR="007D4857" w:rsidRPr="002F4565">
        <w:rPr>
          <w:lang w:val="pt-BR"/>
        </w:rPr>
        <w:t xml:space="preserve">crianças em idade </w:t>
      </w:r>
      <w:proofErr w:type="gramStart"/>
      <w:r w:rsidR="007D4857" w:rsidRPr="002F4565">
        <w:rPr>
          <w:lang w:val="pt-BR"/>
        </w:rPr>
        <w:t>escolar</w:t>
      </w:r>
      <w:r w:rsidRPr="002F4565">
        <w:rPr>
          <w:lang w:val="pt-BR"/>
        </w:rPr>
        <w:t>.</w:t>
      </w:r>
      <w:proofErr w:type="gramEnd"/>
      <w:r w:rsidRPr="002F4565">
        <w:rPr>
          <w:vertAlign w:val="superscript"/>
          <w:lang w:val="pt-BR"/>
        </w:rPr>
        <w:t>35</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21. A</w:t>
      </w:r>
      <w:r w:rsidR="007D4857" w:rsidRPr="002F4565">
        <w:rPr>
          <w:lang w:val="pt-BR"/>
        </w:rPr>
        <w:t xml:space="preserve"> a</w:t>
      </w:r>
      <w:r w:rsidRPr="002F4565">
        <w:rPr>
          <w:lang w:val="pt-BR"/>
        </w:rPr>
        <w:t>cessi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FB4401" w:rsidRPr="002F4565">
        <w:rPr>
          <w:lang w:val="pt-BR"/>
        </w:rPr>
        <w:t>alimentos saudáveis</w:t>
      </w:r>
      <w:r w:rsidRPr="002F4565">
        <w:rPr>
          <w:lang w:val="pt-BR"/>
        </w:rPr>
        <w:t xml:space="preserve"> </w:t>
      </w:r>
      <w:r w:rsidR="007D4857" w:rsidRPr="002F4565">
        <w:rPr>
          <w:lang w:val="pt-BR"/>
        </w:rPr>
        <w:t xml:space="preserve">pode </w:t>
      </w:r>
      <w:r w:rsidR="005A25F5" w:rsidRPr="002F4565">
        <w:rPr>
          <w:lang w:val="pt-BR"/>
        </w:rPr>
        <w:t>não</w:t>
      </w:r>
      <w:r w:rsidRPr="002F4565">
        <w:rPr>
          <w:lang w:val="pt-BR"/>
        </w:rPr>
        <w:t xml:space="preserve"> </w:t>
      </w:r>
      <w:r w:rsidR="007D4857" w:rsidRPr="002F4565">
        <w:rPr>
          <w:lang w:val="pt-BR"/>
        </w:rPr>
        <w:t>necessariamente</w:t>
      </w:r>
      <w:r w:rsidRPr="002F4565">
        <w:rPr>
          <w:lang w:val="pt-BR"/>
        </w:rPr>
        <w:t xml:space="preserve"> </w:t>
      </w:r>
      <w:r w:rsidR="007D4857" w:rsidRPr="002F4565">
        <w:rPr>
          <w:lang w:val="pt-BR"/>
        </w:rPr>
        <w:t>levar ao aumento da ingestão destes alimentos</w:t>
      </w:r>
      <w:r w:rsidRPr="002F4565">
        <w:rPr>
          <w:lang w:val="pt-BR"/>
        </w:rPr>
        <w:t xml:space="preserve">. </w:t>
      </w:r>
      <w:r w:rsidR="007D4857" w:rsidRPr="002F4565">
        <w:rPr>
          <w:lang w:val="pt-BR"/>
        </w:rPr>
        <w:t xml:space="preserve">Embora os </w:t>
      </w:r>
      <w:r w:rsidR="00261A8A" w:rsidRPr="002F4565">
        <w:rPr>
          <w:lang w:val="pt-BR"/>
        </w:rPr>
        <w:t>alimentos</w:t>
      </w:r>
      <w:r w:rsidRPr="002F4565">
        <w:rPr>
          <w:lang w:val="pt-BR"/>
        </w:rPr>
        <w:t xml:space="preserve"> </w:t>
      </w:r>
      <w:r w:rsidR="00F21F55" w:rsidRPr="002F4565">
        <w:rPr>
          <w:lang w:val="pt-BR"/>
        </w:rPr>
        <w:t>com</w:t>
      </w:r>
      <w:r w:rsidRPr="002F4565">
        <w:rPr>
          <w:lang w:val="pt-BR"/>
        </w:rPr>
        <w:t xml:space="preserve"> </w:t>
      </w:r>
      <w:r w:rsidR="007D4857" w:rsidRPr="002F4565">
        <w:rPr>
          <w:lang w:val="pt-BR"/>
        </w:rPr>
        <w:t xml:space="preserve">alto valor </w:t>
      </w:r>
      <w:r w:rsidR="003F41C2" w:rsidRPr="002F4565">
        <w:rPr>
          <w:lang w:val="pt-BR"/>
        </w:rPr>
        <w:t>nutri</w:t>
      </w:r>
      <w:r w:rsidR="007D4857" w:rsidRPr="002F4565">
        <w:rPr>
          <w:lang w:val="pt-BR"/>
        </w:rPr>
        <w:t xml:space="preserve">tivo possam estar </w:t>
      </w:r>
      <w:r w:rsidR="00B5729E" w:rsidRPr="002F4565">
        <w:rPr>
          <w:lang w:val="pt-BR"/>
        </w:rPr>
        <w:t>disponíveis</w:t>
      </w:r>
      <w:r w:rsidRPr="002F4565">
        <w:rPr>
          <w:lang w:val="pt-BR"/>
        </w:rPr>
        <w:t xml:space="preserve"> </w:t>
      </w:r>
      <w:r w:rsidR="00FB4DE4" w:rsidRPr="002F4565">
        <w:rPr>
          <w:lang w:val="pt-BR"/>
        </w:rPr>
        <w:t>em</w:t>
      </w:r>
      <w:r w:rsidRPr="002F4565">
        <w:rPr>
          <w:lang w:val="pt-BR"/>
        </w:rPr>
        <w:t xml:space="preserve"> </w:t>
      </w:r>
      <w:r w:rsidR="007D4857" w:rsidRPr="002F4565">
        <w:rPr>
          <w:lang w:val="pt-BR"/>
        </w:rPr>
        <w:t>áreas</w:t>
      </w:r>
      <w:r w:rsidRPr="002F4565">
        <w:rPr>
          <w:lang w:val="pt-BR"/>
        </w:rPr>
        <w:t xml:space="preserve"> </w:t>
      </w:r>
      <w:r w:rsidR="0049090C" w:rsidRPr="002F4565">
        <w:rPr>
          <w:lang w:val="pt-BR"/>
        </w:rPr>
        <w:t>e</w:t>
      </w:r>
      <w:r w:rsidRPr="002F4565">
        <w:rPr>
          <w:lang w:val="pt-BR"/>
        </w:rPr>
        <w:t xml:space="preserve"> </w:t>
      </w:r>
      <w:r w:rsidR="007D4857" w:rsidRPr="002F4565">
        <w:rPr>
          <w:lang w:val="pt-BR"/>
        </w:rPr>
        <w:t xml:space="preserve">espaços ao lado de produtos comestíveis menos </w:t>
      </w:r>
      <w:r w:rsidR="0049090C" w:rsidRPr="002F4565">
        <w:rPr>
          <w:lang w:val="pt-BR"/>
        </w:rPr>
        <w:t>nutritivos</w:t>
      </w:r>
      <w:r w:rsidRPr="002F4565">
        <w:rPr>
          <w:lang w:val="pt-BR"/>
        </w:rPr>
        <w:t xml:space="preserve">, </w:t>
      </w:r>
      <w:r w:rsidR="007D4857" w:rsidRPr="002F4565">
        <w:rPr>
          <w:lang w:val="pt-BR"/>
        </w:rPr>
        <w:t xml:space="preserve">os </w:t>
      </w:r>
      <w:r w:rsidR="002E1AA7" w:rsidRPr="002F4565">
        <w:rPr>
          <w:lang w:val="pt-BR"/>
        </w:rPr>
        <w:t>consumidores</w:t>
      </w:r>
      <w:r w:rsidRPr="002F4565">
        <w:rPr>
          <w:lang w:val="pt-BR"/>
        </w:rPr>
        <w:t xml:space="preserve"> </w:t>
      </w:r>
      <w:r w:rsidR="007D4857" w:rsidRPr="002F4565">
        <w:rPr>
          <w:lang w:val="pt-BR"/>
        </w:rPr>
        <w:t xml:space="preserve">podem </w:t>
      </w:r>
      <w:r w:rsidR="005A25F5" w:rsidRPr="002F4565">
        <w:rPr>
          <w:lang w:val="pt-BR"/>
        </w:rPr>
        <w:t>não</w:t>
      </w:r>
      <w:r w:rsidRPr="002F4565">
        <w:rPr>
          <w:lang w:val="pt-BR"/>
        </w:rPr>
        <w:t xml:space="preserve"> </w:t>
      </w:r>
      <w:r w:rsidR="007D4857" w:rsidRPr="002F4565">
        <w:rPr>
          <w:lang w:val="pt-BR"/>
        </w:rPr>
        <w:t xml:space="preserve">ser atraídos para a opção </w:t>
      </w:r>
      <w:r w:rsidR="00F21F55" w:rsidRPr="002F4565">
        <w:rPr>
          <w:lang w:val="pt-BR"/>
        </w:rPr>
        <w:t>mais saudáve</w:t>
      </w:r>
      <w:r w:rsidR="007D4857" w:rsidRPr="002F4565">
        <w:rPr>
          <w:lang w:val="pt-BR"/>
        </w:rPr>
        <w:t xml:space="preserve">l com base em vários </w:t>
      </w:r>
      <w:r w:rsidR="006A31E1" w:rsidRPr="002F4565">
        <w:rPr>
          <w:lang w:val="pt-BR"/>
        </w:rPr>
        <w:t>fatores</w:t>
      </w:r>
      <w:r w:rsidRPr="002F4565">
        <w:rPr>
          <w:lang w:val="pt-BR"/>
        </w:rPr>
        <w:t xml:space="preserve"> </w:t>
      </w:r>
      <w:r w:rsidR="007D4857" w:rsidRPr="002F4565">
        <w:rPr>
          <w:lang w:val="pt-BR"/>
        </w:rPr>
        <w:t xml:space="preserve">como o gosto agradável percebido </w:t>
      </w:r>
      <w:r w:rsidR="003F41C2" w:rsidRPr="002F4565">
        <w:rPr>
          <w:lang w:val="pt-BR"/>
        </w:rPr>
        <w:t>ou</w:t>
      </w:r>
      <w:r w:rsidRPr="002F4565">
        <w:rPr>
          <w:lang w:val="pt-BR"/>
        </w:rPr>
        <w:t xml:space="preserve"> </w:t>
      </w:r>
      <w:r w:rsidR="007D4857" w:rsidRPr="002F4565">
        <w:rPr>
          <w:lang w:val="pt-BR"/>
        </w:rPr>
        <w:t xml:space="preserve">falta de </w:t>
      </w:r>
      <w:r w:rsidRPr="002F4565">
        <w:rPr>
          <w:lang w:val="pt-BR"/>
        </w:rPr>
        <w:t>visi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F21F55" w:rsidRPr="002F4565">
        <w:rPr>
          <w:lang w:val="pt-BR"/>
        </w:rPr>
        <w:t>opções</w:t>
      </w:r>
      <w:r w:rsidRPr="002F4565">
        <w:rPr>
          <w:lang w:val="pt-BR"/>
        </w:rPr>
        <w:t xml:space="preserve"> </w:t>
      </w:r>
      <w:r w:rsidR="007D4857" w:rsidRPr="002F4565">
        <w:rPr>
          <w:lang w:val="pt-BR"/>
        </w:rPr>
        <w:t xml:space="preserve">mais saudáveis </w:t>
      </w:r>
      <w:r w:rsidR="0049090C" w:rsidRPr="002F4565">
        <w:rPr>
          <w:lang w:val="pt-BR"/>
        </w:rPr>
        <w:t>e</w:t>
      </w:r>
      <w:r w:rsidRPr="002F4565">
        <w:rPr>
          <w:lang w:val="pt-BR"/>
        </w:rPr>
        <w:t xml:space="preserve"> </w:t>
      </w:r>
      <w:r w:rsidR="007D4857" w:rsidRPr="002F4565">
        <w:rPr>
          <w:lang w:val="pt-BR"/>
        </w:rPr>
        <w:t>seus</w:t>
      </w:r>
      <w:r w:rsidRPr="002F4565">
        <w:rPr>
          <w:lang w:val="pt-BR"/>
        </w:rPr>
        <w:t xml:space="preserve"> </w:t>
      </w:r>
      <w:r w:rsidR="00072E1E" w:rsidRPr="002F4565">
        <w:rPr>
          <w:lang w:val="pt-BR"/>
        </w:rPr>
        <w:t>benefício</w:t>
      </w:r>
      <w:r w:rsidRPr="002F4565">
        <w:rPr>
          <w:lang w:val="pt-BR"/>
        </w:rPr>
        <w:t xml:space="preserve">s. </w:t>
      </w:r>
      <w:r w:rsidR="007D4857" w:rsidRPr="002F4565">
        <w:rPr>
          <w:lang w:val="pt-BR"/>
        </w:rPr>
        <w:t xml:space="preserve">As lojas de varejo e cadeias de </w:t>
      </w:r>
      <w:r w:rsidR="00FB4401" w:rsidRPr="002F4565">
        <w:rPr>
          <w:lang w:val="pt-BR"/>
        </w:rPr>
        <w:t>supermercado</w:t>
      </w:r>
      <w:r w:rsidRPr="002F4565">
        <w:rPr>
          <w:lang w:val="pt-BR"/>
        </w:rPr>
        <w:t xml:space="preserve"> </w:t>
      </w:r>
      <w:r w:rsidR="007D4857" w:rsidRPr="002F4565">
        <w:rPr>
          <w:lang w:val="pt-BR"/>
        </w:rPr>
        <w:t xml:space="preserve">podem estocar </w:t>
      </w:r>
      <w:r w:rsidR="00FB4401" w:rsidRPr="002F4565">
        <w:rPr>
          <w:lang w:val="pt-BR"/>
        </w:rPr>
        <w:t>alimentos saudáveis</w:t>
      </w:r>
      <w:r w:rsidRPr="002F4565">
        <w:rPr>
          <w:lang w:val="pt-BR"/>
        </w:rPr>
        <w:t xml:space="preserve">, </w:t>
      </w:r>
      <w:r w:rsidR="0040430A" w:rsidRPr="002F4565">
        <w:rPr>
          <w:lang w:val="pt-BR"/>
        </w:rPr>
        <w:t>mas</w:t>
      </w:r>
      <w:r w:rsidRPr="002F4565">
        <w:rPr>
          <w:lang w:val="pt-BR"/>
        </w:rPr>
        <w:t xml:space="preserve"> </w:t>
      </w:r>
      <w:r w:rsidR="00413531" w:rsidRPr="002F4565">
        <w:rPr>
          <w:lang w:val="pt-BR"/>
        </w:rPr>
        <w:t xml:space="preserve">reservar </w:t>
      </w:r>
      <w:r w:rsidR="007D4857" w:rsidRPr="002F4565">
        <w:rPr>
          <w:lang w:val="pt-BR"/>
        </w:rPr>
        <w:t>menores espaço</w:t>
      </w:r>
      <w:r w:rsidR="00413531" w:rsidRPr="002F4565">
        <w:rPr>
          <w:lang w:val="pt-BR"/>
        </w:rPr>
        <w:t>s</w:t>
      </w:r>
      <w:r w:rsidR="007D4857" w:rsidRPr="002F4565">
        <w:rPr>
          <w:lang w:val="pt-BR"/>
        </w:rPr>
        <w:t xml:space="preserve"> nas prateleiras podem ser alocados a estes alimentos </w:t>
      </w:r>
      <w:r w:rsidR="003F41C2" w:rsidRPr="002F4565">
        <w:rPr>
          <w:lang w:val="pt-BR"/>
        </w:rPr>
        <w:t>ou</w:t>
      </w:r>
      <w:r w:rsidRPr="002F4565">
        <w:rPr>
          <w:lang w:val="pt-BR"/>
        </w:rPr>
        <w:t xml:space="preserve"> </w:t>
      </w:r>
      <w:r w:rsidR="007D4857" w:rsidRPr="002F4565">
        <w:rPr>
          <w:lang w:val="pt-BR"/>
        </w:rPr>
        <w:t xml:space="preserve">podem ser colocados no fundo da </w:t>
      </w:r>
      <w:proofErr w:type="gramStart"/>
      <w:r w:rsidR="007D4857" w:rsidRPr="002F4565">
        <w:rPr>
          <w:lang w:val="pt-BR"/>
        </w:rPr>
        <w:t>loja</w:t>
      </w:r>
      <w:r w:rsidRPr="002F4565">
        <w:rPr>
          <w:lang w:val="pt-BR"/>
        </w:rPr>
        <w:t>.</w:t>
      </w:r>
      <w:proofErr w:type="gramEnd"/>
      <w:r w:rsidRPr="002F4565">
        <w:rPr>
          <w:vertAlign w:val="superscript"/>
          <w:lang w:val="pt-BR"/>
        </w:rPr>
        <w:t>36</w:t>
      </w:r>
      <w:r w:rsidRPr="002F4565">
        <w:rPr>
          <w:lang w:val="pt-BR"/>
        </w:rPr>
        <w:t xml:space="preserve"> </w:t>
      </w:r>
      <w:r w:rsidR="007D4857" w:rsidRPr="002F4565">
        <w:rPr>
          <w:lang w:val="pt-BR"/>
        </w:rPr>
        <w:t xml:space="preserve">Isto teria efeito </w:t>
      </w:r>
      <w:r w:rsidRPr="002F4565">
        <w:rPr>
          <w:lang w:val="pt-BR"/>
        </w:rPr>
        <w:t xml:space="preserve">a </w:t>
      </w:r>
      <w:r w:rsidR="00624BDC" w:rsidRPr="002F4565">
        <w:rPr>
          <w:lang w:val="pt-BR"/>
        </w:rPr>
        <w:t>negativo</w:t>
      </w:r>
      <w:r w:rsidRPr="002F4565">
        <w:rPr>
          <w:lang w:val="pt-BR"/>
        </w:rPr>
        <w:t xml:space="preserve"> </w:t>
      </w:r>
      <w:r w:rsidR="007D4857" w:rsidRPr="002F4565">
        <w:rPr>
          <w:lang w:val="pt-BR"/>
        </w:rPr>
        <w:t xml:space="preserve">sobre os </w:t>
      </w:r>
      <w:r w:rsidR="00FB4401" w:rsidRPr="002F4565">
        <w:rPr>
          <w:lang w:val="pt-BR"/>
        </w:rPr>
        <w:t>padrões</w:t>
      </w:r>
      <w:r w:rsidRPr="002F4565">
        <w:rPr>
          <w:lang w:val="pt-BR"/>
        </w:rPr>
        <w:t xml:space="preserve"> </w:t>
      </w:r>
      <w:r w:rsidR="007D4857" w:rsidRPr="002F4565">
        <w:rPr>
          <w:lang w:val="pt-BR"/>
        </w:rPr>
        <w:t xml:space="preserve">de consumo </w:t>
      </w:r>
      <w:r w:rsidR="00FB4DE4" w:rsidRPr="002F4565">
        <w:rPr>
          <w:lang w:val="pt-BR"/>
        </w:rPr>
        <w:t>em</w:t>
      </w:r>
      <w:r w:rsidRPr="002F4565">
        <w:rPr>
          <w:lang w:val="pt-BR"/>
        </w:rPr>
        <w:t xml:space="preserve"> favor </w:t>
      </w:r>
      <w:r w:rsidR="0049090C" w:rsidRPr="002F4565">
        <w:rPr>
          <w:lang w:val="pt-BR"/>
        </w:rPr>
        <w:t>de</w:t>
      </w:r>
      <w:r w:rsidRPr="002F4565">
        <w:rPr>
          <w:lang w:val="pt-BR"/>
        </w:rPr>
        <w:t xml:space="preserve"> </w:t>
      </w:r>
      <w:r w:rsidR="00182B8E" w:rsidRPr="002F4565">
        <w:rPr>
          <w:lang w:val="pt-BR"/>
        </w:rPr>
        <w:t>alimentos mais saudáveis</w:t>
      </w:r>
      <w:r w:rsidRPr="002F4565">
        <w:rPr>
          <w:lang w:val="pt-BR"/>
        </w:rPr>
        <w:t xml:space="preserve">. </w:t>
      </w:r>
      <w:r w:rsidR="007D4857" w:rsidRPr="002F4565">
        <w:rPr>
          <w:lang w:val="pt-BR"/>
        </w:rPr>
        <w:t>Para retificar esta situação</w:t>
      </w:r>
      <w:r w:rsidRPr="002F4565">
        <w:rPr>
          <w:lang w:val="pt-BR"/>
        </w:rPr>
        <w:t xml:space="preserve">, </w:t>
      </w:r>
      <w:r w:rsidR="007D4857" w:rsidRPr="002F4565">
        <w:rPr>
          <w:lang w:val="pt-BR"/>
        </w:rPr>
        <w:t xml:space="preserve">os </w:t>
      </w:r>
      <w:r w:rsidR="0049090C" w:rsidRPr="002F4565">
        <w:rPr>
          <w:lang w:val="pt-BR"/>
        </w:rPr>
        <w:t>Estados</w:t>
      </w:r>
      <w:r w:rsidRPr="002F4565">
        <w:rPr>
          <w:lang w:val="pt-BR"/>
        </w:rPr>
        <w:t xml:space="preserve"> </w:t>
      </w:r>
      <w:r w:rsidR="007D4857" w:rsidRPr="002F4565">
        <w:rPr>
          <w:lang w:val="pt-BR"/>
        </w:rPr>
        <w:t xml:space="preserve">poderiam incentivar </w:t>
      </w:r>
      <w:r w:rsidR="0049090C" w:rsidRPr="002F4565">
        <w:rPr>
          <w:lang w:val="pt-BR"/>
        </w:rPr>
        <w:t>e</w:t>
      </w:r>
      <w:r w:rsidRPr="002F4565">
        <w:rPr>
          <w:lang w:val="pt-BR"/>
        </w:rPr>
        <w:t xml:space="preserve"> </w:t>
      </w:r>
      <w:r w:rsidR="007D4857" w:rsidRPr="002F4565">
        <w:rPr>
          <w:lang w:val="pt-BR"/>
        </w:rPr>
        <w:t xml:space="preserve">exigir que os varejistas dispusessem seus </w:t>
      </w:r>
      <w:r w:rsidR="00B5729E" w:rsidRPr="002F4565">
        <w:rPr>
          <w:lang w:val="pt-BR"/>
        </w:rPr>
        <w:t>produto</w:t>
      </w:r>
      <w:r w:rsidRPr="002F4565">
        <w:rPr>
          <w:lang w:val="pt-BR"/>
        </w:rPr>
        <w:t xml:space="preserve">s </w:t>
      </w:r>
      <w:r w:rsidR="007D4857" w:rsidRPr="002F4565">
        <w:rPr>
          <w:lang w:val="pt-BR"/>
        </w:rPr>
        <w:t xml:space="preserve">de forma a atrair </w:t>
      </w:r>
      <w:r w:rsidR="00261A8A" w:rsidRPr="002F4565">
        <w:rPr>
          <w:lang w:val="pt-BR"/>
        </w:rPr>
        <w:t>o</w:t>
      </w:r>
      <w:r w:rsidRPr="002F4565">
        <w:rPr>
          <w:lang w:val="pt-BR"/>
        </w:rPr>
        <w:t xml:space="preserve"> </w:t>
      </w:r>
      <w:r w:rsidR="00072E1E" w:rsidRPr="002F4565">
        <w:rPr>
          <w:lang w:val="pt-BR"/>
        </w:rPr>
        <w:t>consumidor</w:t>
      </w:r>
      <w:r w:rsidRPr="002F4565">
        <w:rPr>
          <w:lang w:val="pt-BR"/>
        </w:rPr>
        <w:t xml:space="preserve"> </w:t>
      </w:r>
      <w:r w:rsidR="007D4857" w:rsidRPr="002F4565">
        <w:rPr>
          <w:lang w:val="pt-BR"/>
        </w:rPr>
        <w:t xml:space="preserve">para </w:t>
      </w:r>
      <w:r w:rsidR="00F21F55" w:rsidRPr="002F4565">
        <w:rPr>
          <w:lang w:val="pt-BR"/>
        </w:rPr>
        <w:t>opções</w:t>
      </w:r>
      <w:r w:rsidR="007D4857" w:rsidRPr="002F4565">
        <w:rPr>
          <w:lang w:val="pt-BR"/>
        </w:rPr>
        <w:t xml:space="preserve"> mais saudáveis</w:t>
      </w:r>
      <w:r w:rsidRPr="002F4565">
        <w:rPr>
          <w:lang w:val="pt-BR"/>
        </w:rPr>
        <w:t xml:space="preserve">. </w:t>
      </w:r>
      <w:r w:rsidR="007D4857" w:rsidRPr="002F4565">
        <w:rPr>
          <w:lang w:val="pt-BR"/>
        </w:rPr>
        <w:t xml:space="preserve">Os </w:t>
      </w:r>
      <w:r w:rsidR="0049090C" w:rsidRPr="002F4565">
        <w:rPr>
          <w:lang w:val="pt-BR"/>
        </w:rPr>
        <w:t>Estados</w:t>
      </w:r>
      <w:r w:rsidRPr="002F4565">
        <w:rPr>
          <w:lang w:val="pt-BR"/>
        </w:rPr>
        <w:t xml:space="preserve"> </w:t>
      </w:r>
      <w:r w:rsidR="007D4857" w:rsidRPr="002F4565">
        <w:rPr>
          <w:lang w:val="pt-BR"/>
        </w:rPr>
        <w:t xml:space="preserve">poderiam </w:t>
      </w:r>
      <w:r w:rsidR="00F21F55" w:rsidRPr="002F4565">
        <w:rPr>
          <w:lang w:val="pt-BR"/>
        </w:rPr>
        <w:t>também</w:t>
      </w:r>
      <w:r w:rsidRPr="002F4565">
        <w:rPr>
          <w:lang w:val="pt-BR"/>
        </w:rPr>
        <w:t xml:space="preserve"> promo</w:t>
      </w:r>
      <w:r w:rsidR="007D4857" w:rsidRPr="002F4565">
        <w:rPr>
          <w:lang w:val="pt-BR"/>
        </w:rPr>
        <w:t>ver</w:t>
      </w:r>
      <w:r w:rsidRPr="002F4565">
        <w:rPr>
          <w:lang w:val="pt-BR"/>
        </w:rPr>
        <w:t xml:space="preserve"> </w:t>
      </w:r>
      <w:r w:rsidR="00182B8E" w:rsidRPr="002F4565">
        <w:rPr>
          <w:lang w:val="pt-BR"/>
        </w:rPr>
        <w:t>alimentos mais saudáveis</w:t>
      </w:r>
      <w:r w:rsidRPr="002F4565">
        <w:rPr>
          <w:lang w:val="pt-BR"/>
        </w:rPr>
        <w:t xml:space="preserve"> </w:t>
      </w:r>
      <w:r w:rsidR="007D4857" w:rsidRPr="002F4565">
        <w:rPr>
          <w:lang w:val="pt-BR"/>
        </w:rPr>
        <w:t xml:space="preserve">pela mídia e canais sociais </w:t>
      </w:r>
      <w:r w:rsidRPr="002F4565">
        <w:rPr>
          <w:lang w:val="pt-BR"/>
        </w:rPr>
        <w:t>tradi</w:t>
      </w:r>
      <w:r w:rsidR="007D4857" w:rsidRPr="002F4565">
        <w:rPr>
          <w:lang w:val="pt-BR"/>
        </w:rPr>
        <w:t xml:space="preserve">cionalmente usados pelos fabricantes de </w:t>
      </w:r>
      <w:r w:rsidR="0049090C" w:rsidRPr="002F4565">
        <w:rPr>
          <w:lang w:val="pt-BR"/>
        </w:rPr>
        <w:t>alimento</w:t>
      </w:r>
      <w:r w:rsidR="007D4857" w:rsidRPr="002F4565">
        <w:rPr>
          <w:lang w:val="pt-BR"/>
        </w:rPr>
        <w:t>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bebida</w:t>
      </w:r>
      <w:r w:rsidR="007D4857" w:rsidRPr="002F4565">
        <w:rPr>
          <w:lang w:val="pt-BR"/>
        </w:rPr>
        <w:t>s</w:t>
      </w:r>
      <w:r w:rsidRPr="002F4565">
        <w:rPr>
          <w:lang w:val="pt-BR"/>
        </w:rPr>
        <w:t xml:space="preserve">, </w:t>
      </w:r>
      <w:r w:rsidR="00413531" w:rsidRPr="002F4565">
        <w:rPr>
          <w:lang w:val="pt-BR"/>
        </w:rPr>
        <w:t xml:space="preserve">a partir da </w:t>
      </w:r>
      <w:r w:rsidR="007D4857" w:rsidRPr="002F4565">
        <w:rPr>
          <w:lang w:val="pt-BR"/>
        </w:rPr>
        <w:t xml:space="preserve">TV para </w:t>
      </w:r>
      <w:r w:rsidR="00624BDC" w:rsidRPr="002F4565">
        <w:rPr>
          <w:lang w:val="pt-BR"/>
        </w:rPr>
        <w:t>propaganda</w:t>
      </w:r>
      <w:r w:rsidR="007D4857" w:rsidRPr="002F4565">
        <w:rPr>
          <w:lang w:val="pt-BR"/>
        </w:rPr>
        <w:t xml:space="preserve"> na internet</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C. </w:t>
      </w:r>
      <w:r w:rsidR="00802E44" w:rsidRPr="002F4565">
        <w:rPr>
          <w:lang w:val="pt-BR"/>
        </w:rPr>
        <w:t>Políticas</w:t>
      </w:r>
      <w:r w:rsidRPr="002F4565">
        <w:rPr>
          <w:lang w:val="pt-BR"/>
        </w:rPr>
        <w:t xml:space="preserve"> </w:t>
      </w:r>
      <w:r w:rsidR="007D4857" w:rsidRPr="002F4565">
        <w:rPr>
          <w:lang w:val="pt-BR"/>
        </w:rPr>
        <w:t xml:space="preserve">sobre </w:t>
      </w:r>
      <w:r w:rsidR="00BC3868" w:rsidRPr="002F4565">
        <w:rPr>
          <w:lang w:val="pt-BR"/>
        </w:rPr>
        <w:t>publicidade</w:t>
      </w:r>
      <w:r w:rsidRPr="002F4565">
        <w:rPr>
          <w:lang w:val="pt-BR"/>
        </w:rPr>
        <w:t xml:space="preserve"> </w:t>
      </w:r>
      <w:r w:rsidR="0049090C" w:rsidRPr="002F4565">
        <w:rPr>
          <w:lang w:val="pt-BR"/>
        </w:rPr>
        <w:t>e</w:t>
      </w:r>
      <w:r w:rsidRPr="002F4565">
        <w:rPr>
          <w:lang w:val="pt-BR"/>
        </w:rPr>
        <w:t xml:space="preserve"> prom</w:t>
      </w:r>
      <w:r w:rsidR="00F21F55" w:rsidRPr="002F4565">
        <w:rPr>
          <w:lang w:val="pt-BR"/>
        </w:rPr>
        <w:t>oção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 xml:space="preserve">alimentos pouco </w:t>
      </w:r>
      <w:proofErr w:type="gramStart"/>
      <w:r w:rsidR="00261A8A" w:rsidRPr="002F4565">
        <w:rPr>
          <w:lang w:val="pt-BR"/>
        </w:rPr>
        <w:t>saudáveis</w:t>
      </w:r>
      <w:proofErr w:type="gramEnd"/>
    </w:p>
    <w:p w:rsidR="00115B91" w:rsidRPr="002F4565" w:rsidRDefault="00115B91" w:rsidP="0051636A">
      <w:pPr>
        <w:spacing w:before="120" w:after="0" w:line="240" w:lineRule="auto"/>
        <w:rPr>
          <w:lang w:val="pt-BR"/>
        </w:rPr>
      </w:pPr>
      <w:r w:rsidRPr="002F4565">
        <w:rPr>
          <w:lang w:val="pt-BR"/>
        </w:rPr>
        <w:t xml:space="preserve">22. </w:t>
      </w:r>
      <w:r w:rsidR="007D4857" w:rsidRPr="002F4565">
        <w:rPr>
          <w:lang w:val="pt-BR"/>
        </w:rPr>
        <w:t xml:space="preserve">Para prevenir o dano à </w:t>
      </w:r>
      <w:r w:rsidR="0049090C" w:rsidRPr="002F4565">
        <w:rPr>
          <w:lang w:val="pt-BR"/>
        </w:rPr>
        <w:t>saúde</w:t>
      </w:r>
      <w:r w:rsidRPr="002F4565">
        <w:rPr>
          <w:lang w:val="pt-BR"/>
        </w:rPr>
        <w:t xml:space="preserve"> </w:t>
      </w:r>
      <w:r w:rsidR="007D4857" w:rsidRPr="002F4565">
        <w:rPr>
          <w:lang w:val="pt-BR"/>
        </w:rPr>
        <w:t xml:space="preserve">das pessoas </w:t>
      </w:r>
      <w:r w:rsidR="0049090C" w:rsidRPr="002F4565">
        <w:rPr>
          <w:lang w:val="pt-BR"/>
        </w:rPr>
        <w:t>e</w:t>
      </w:r>
      <w:r w:rsidRPr="002F4565">
        <w:rPr>
          <w:lang w:val="pt-BR"/>
        </w:rPr>
        <w:t xml:space="preserve"> </w:t>
      </w:r>
      <w:r w:rsidR="007D4857" w:rsidRPr="002F4565">
        <w:rPr>
          <w:lang w:val="pt-BR"/>
        </w:rPr>
        <w:t xml:space="preserve">cumprir a </w:t>
      </w:r>
      <w:r w:rsidR="006A31E1" w:rsidRPr="002F4565">
        <w:rPr>
          <w:lang w:val="pt-BR"/>
        </w:rPr>
        <w:t>obrigação</w:t>
      </w:r>
      <w:r w:rsidRPr="002F4565">
        <w:rPr>
          <w:lang w:val="pt-BR"/>
        </w:rPr>
        <w:t xml:space="preserve"> </w:t>
      </w:r>
      <w:r w:rsidR="007D4857" w:rsidRPr="002F4565">
        <w:rPr>
          <w:lang w:val="pt-BR"/>
        </w:rPr>
        <w:t xml:space="preserve">segundo o </w:t>
      </w:r>
      <w:r w:rsidR="00F21F55" w:rsidRPr="002F4565">
        <w:rPr>
          <w:lang w:val="pt-BR"/>
        </w:rPr>
        <w:t>direito à saúde</w:t>
      </w:r>
      <w:r w:rsidRPr="002F4565">
        <w:rPr>
          <w:lang w:val="pt-BR"/>
        </w:rPr>
        <w:t xml:space="preserve">, </w:t>
      </w:r>
      <w:r w:rsidR="007D4857"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7D4857" w:rsidRPr="002F4565">
        <w:rPr>
          <w:lang w:val="pt-BR"/>
        </w:rPr>
        <w:t xml:space="preserve">estabelecer </w:t>
      </w:r>
      <w:r w:rsidR="0049090C" w:rsidRPr="002F4565">
        <w:rPr>
          <w:lang w:val="pt-BR"/>
        </w:rPr>
        <w:t>políticas</w:t>
      </w:r>
      <w:r w:rsidRPr="002F4565">
        <w:rPr>
          <w:lang w:val="pt-BR"/>
        </w:rPr>
        <w:t xml:space="preserve"> </w:t>
      </w:r>
      <w:r w:rsidR="007D4857" w:rsidRPr="002F4565">
        <w:rPr>
          <w:lang w:val="pt-BR"/>
        </w:rPr>
        <w:t xml:space="preserve">nacionais para </w:t>
      </w:r>
      <w:r w:rsidRPr="002F4565">
        <w:rPr>
          <w:lang w:val="pt-BR"/>
        </w:rPr>
        <w:t>regula</w:t>
      </w:r>
      <w:r w:rsidR="007D4857" w:rsidRPr="002F4565">
        <w:rPr>
          <w:lang w:val="pt-BR"/>
        </w:rPr>
        <w:t xml:space="preserve">mentar a </w:t>
      </w:r>
      <w:r w:rsidR="007D3BE3" w:rsidRPr="002F4565">
        <w:rPr>
          <w:lang w:val="pt-BR"/>
        </w:rPr>
        <w:t>propaganda</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7D4857"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2E1AA7" w:rsidRPr="002F4565">
        <w:rPr>
          <w:lang w:val="pt-BR"/>
        </w:rPr>
        <w:t>formular</w:t>
      </w:r>
      <w:r w:rsidRPr="002F4565">
        <w:rPr>
          <w:lang w:val="pt-BR"/>
        </w:rPr>
        <w:t xml:space="preserve"> </w:t>
      </w:r>
      <w:r w:rsidR="00624BDC" w:rsidRPr="002F4565">
        <w:rPr>
          <w:lang w:val="pt-BR"/>
        </w:rPr>
        <w:t>leis</w:t>
      </w:r>
      <w:r w:rsidRPr="002F4565">
        <w:rPr>
          <w:lang w:val="pt-BR"/>
        </w:rPr>
        <w:t xml:space="preserve"> </w:t>
      </w:r>
      <w:r w:rsidR="0049090C" w:rsidRPr="002F4565">
        <w:rPr>
          <w:lang w:val="pt-BR"/>
        </w:rPr>
        <w:t>e</w:t>
      </w:r>
      <w:r w:rsidRPr="002F4565">
        <w:rPr>
          <w:lang w:val="pt-BR"/>
        </w:rPr>
        <w:t xml:space="preserve"> </w:t>
      </w:r>
      <w:r w:rsidR="007D4857" w:rsidRPr="002F4565">
        <w:rPr>
          <w:lang w:val="pt-BR"/>
        </w:rPr>
        <w:t>um</w:t>
      </w:r>
      <w:r w:rsidRPr="002F4565">
        <w:rPr>
          <w:lang w:val="pt-BR"/>
        </w:rPr>
        <w:t xml:space="preserve">a </w:t>
      </w:r>
      <w:r w:rsidR="00E415D7" w:rsidRPr="002F4565">
        <w:rPr>
          <w:lang w:val="pt-BR"/>
        </w:rPr>
        <w:t>estrutura</w:t>
      </w:r>
      <w:r w:rsidRPr="002F4565">
        <w:rPr>
          <w:lang w:val="pt-BR"/>
        </w:rPr>
        <w:t xml:space="preserve"> </w:t>
      </w:r>
      <w:r w:rsidR="007D4857" w:rsidRPr="002F4565">
        <w:rPr>
          <w:lang w:val="pt-BR"/>
        </w:rPr>
        <w:t xml:space="preserve">regulatória </w:t>
      </w:r>
      <w:r w:rsidR="00F21F55" w:rsidRPr="002F4565">
        <w:rPr>
          <w:lang w:val="pt-BR"/>
        </w:rPr>
        <w:t>com</w:t>
      </w:r>
      <w:r w:rsidRPr="002F4565">
        <w:rPr>
          <w:lang w:val="pt-BR"/>
        </w:rPr>
        <w:t xml:space="preserve"> </w:t>
      </w:r>
      <w:r w:rsidR="00261A8A" w:rsidRPr="002F4565">
        <w:rPr>
          <w:lang w:val="pt-BR"/>
        </w:rPr>
        <w:t>o</w:t>
      </w:r>
      <w:r w:rsidRPr="002F4565">
        <w:rPr>
          <w:lang w:val="pt-BR"/>
        </w:rPr>
        <w:t xml:space="preserve"> objetiv</w:t>
      </w:r>
      <w:r w:rsidR="007D4857" w:rsidRPr="002F4565">
        <w:rPr>
          <w:lang w:val="pt-BR"/>
        </w:rPr>
        <w:t>o</w:t>
      </w:r>
      <w:r w:rsidRPr="002F4565">
        <w:rPr>
          <w:lang w:val="pt-BR"/>
        </w:rPr>
        <w:t xml:space="preserve"> </w:t>
      </w:r>
      <w:r w:rsidR="0049090C" w:rsidRPr="002F4565">
        <w:rPr>
          <w:lang w:val="pt-BR"/>
        </w:rPr>
        <w:t>de</w:t>
      </w:r>
      <w:r w:rsidRPr="002F4565">
        <w:rPr>
          <w:lang w:val="pt-BR"/>
        </w:rPr>
        <w:t xml:space="preserve"> </w:t>
      </w:r>
      <w:r w:rsidR="007D4857" w:rsidRPr="002F4565">
        <w:rPr>
          <w:lang w:val="pt-BR"/>
        </w:rPr>
        <w:t xml:space="preserve">reduzir a exposição das </w:t>
      </w:r>
      <w:r w:rsidR="00802E44" w:rsidRPr="002F4565">
        <w:rPr>
          <w:lang w:val="pt-BR"/>
        </w:rPr>
        <w:t>crianças</w:t>
      </w:r>
      <w:r w:rsidR="007D4857" w:rsidRPr="002F4565">
        <w:rPr>
          <w:lang w:val="pt-BR"/>
        </w:rPr>
        <w:t xml:space="preserve"> </w:t>
      </w:r>
      <w:r w:rsidR="009B3C1E" w:rsidRPr="002F4565">
        <w:rPr>
          <w:lang w:val="pt-BR"/>
        </w:rPr>
        <w:t xml:space="preserve">à </w:t>
      </w:r>
      <w:r w:rsidR="007D4857" w:rsidRPr="002F4565">
        <w:rPr>
          <w:lang w:val="pt-BR"/>
        </w:rPr>
        <w:t>poderos</w:t>
      </w:r>
      <w:r w:rsidR="00BC3868" w:rsidRPr="002F4565">
        <w:rPr>
          <w:lang w:val="pt-BR"/>
        </w:rPr>
        <w:t>a publicidade</w:t>
      </w:r>
      <w:r w:rsidR="007D4857" w:rsidRPr="002F4565">
        <w:rPr>
          <w:lang w:val="pt-BR"/>
        </w:rPr>
        <w:t xml:space="preserve"> de alimentos e bebidas</w:t>
      </w:r>
      <w:r w:rsidRPr="002F4565">
        <w:rPr>
          <w:lang w:val="pt-BR"/>
        </w:rPr>
        <w:t xml:space="preserve">. </w:t>
      </w:r>
      <w:r w:rsidR="007D4857" w:rsidRPr="002F4565">
        <w:rPr>
          <w:lang w:val="pt-BR"/>
        </w:rPr>
        <w:t xml:space="preserve">Tais </w:t>
      </w:r>
      <w:r w:rsidR="00F21F55" w:rsidRPr="002F4565">
        <w:rPr>
          <w:lang w:val="pt-BR"/>
        </w:rPr>
        <w:t>regulamentações</w:t>
      </w:r>
      <w:r w:rsidRPr="002F4565">
        <w:rPr>
          <w:lang w:val="pt-BR"/>
        </w:rPr>
        <w:t xml:space="preserve"> </w:t>
      </w:r>
      <w:r w:rsidR="002E1AA7" w:rsidRPr="002F4565">
        <w:rPr>
          <w:lang w:val="pt-BR"/>
        </w:rPr>
        <w:t>devem</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7D4857"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7D4857" w:rsidRPr="002F4565">
        <w:rPr>
          <w:lang w:val="pt-BR"/>
        </w:rPr>
        <w:t xml:space="preserve">ofereça </w:t>
      </w:r>
      <w:r w:rsidR="00F21F55" w:rsidRPr="002F4565">
        <w:rPr>
          <w:lang w:val="pt-BR"/>
        </w:rPr>
        <w:t>informações</w:t>
      </w:r>
      <w:r w:rsidRPr="002F4565">
        <w:rPr>
          <w:lang w:val="pt-BR"/>
        </w:rPr>
        <w:t xml:space="preserve"> </w:t>
      </w:r>
      <w:r w:rsidR="007D4857" w:rsidRPr="002F4565">
        <w:rPr>
          <w:lang w:val="pt-BR"/>
        </w:rPr>
        <w:t>de nutrição precisas e fáceis de ler quando anunciam seus</w:t>
      </w:r>
      <w:r w:rsidRPr="002F4565">
        <w:rPr>
          <w:lang w:val="pt-BR"/>
        </w:rPr>
        <w:t xml:space="preserve"> </w:t>
      </w:r>
      <w:r w:rsidR="00B5729E" w:rsidRPr="002F4565">
        <w:rPr>
          <w:lang w:val="pt-BR"/>
        </w:rPr>
        <w:t>produto</w:t>
      </w:r>
      <w:r w:rsidRPr="002F4565">
        <w:rPr>
          <w:lang w:val="pt-BR"/>
        </w:rPr>
        <w:t>s.</w:t>
      </w:r>
    </w:p>
    <w:p w:rsidR="00115B91" w:rsidRPr="002F4565" w:rsidRDefault="00115B91" w:rsidP="0051636A">
      <w:pPr>
        <w:spacing w:before="120" w:after="0" w:line="240" w:lineRule="auto"/>
        <w:rPr>
          <w:lang w:val="pt-BR"/>
        </w:rPr>
      </w:pPr>
      <w:r w:rsidRPr="002F4565">
        <w:rPr>
          <w:lang w:val="pt-BR"/>
        </w:rPr>
        <w:t xml:space="preserve">23. </w:t>
      </w:r>
      <w:r w:rsidR="007D4857" w:rsidRPr="002F4565">
        <w:rPr>
          <w:lang w:val="pt-BR"/>
        </w:rPr>
        <w:t xml:space="preserve">Para </w:t>
      </w:r>
      <w:r w:rsidR="009B3C1E" w:rsidRPr="002F4565">
        <w:rPr>
          <w:lang w:val="pt-BR"/>
        </w:rPr>
        <w:t xml:space="preserve">resolver </w:t>
      </w:r>
      <w:r w:rsidR="007D4857" w:rsidRPr="002F4565">
        <w:rPr>
          <w:lang w:val="pt-BR"/>
        </w:rPr>
        <w:t xml:space="preserve">a questão </w:t>
      </w:r>
      <w:r w:rsidR="00BC3868" w:rsidRPr="002F4565">
        <w:rPr>
          <w:lang w:val="pt-BR"/>
        </w:rPr>
        <w:t>da publicidade</w:t>
      </w:r>
      <w:r w:rsidR="007D4857" w:rsidRPr="002F4565">
        <w:rPr>
          <w:lang w:val="pt-BR"/>
        </w:rPr>
        <w:t xml:space="preserve"> agressiv</w:t>
      </w:r>
      <w:r w:rsidR="009B3C1E" w:rsidRPr="002F4565">
        <w:rPr>
          <w:lang w:val="pt-BR"/>
        </w:rPr>
        <w:t>a</w:t>
      </w:r>
      <w:r w:rsidRPr="002F4565">
        <w:rPr>
          <w:lang w:val="pt-BR"/>
        </w:rPr>
        <w:t xml:space="preserve">, </w:t>
      </w:r>
      <w:r w:rsidR="00072E1E" w:rsidRPr="002F4565">
        <w:rPr>
          <w:lang w:val="pt-BR"/>
        </w:rPr>
        <w:t>alguns Estados</w:t>
      </w:r>
      <w:r w:rsidRPr="002F4565">
        <w:rPr>
          <w:lang w:val="pt-BR"/>
        </w:rPr>
        <w:t xml:space="preserve"> </w:t>
      </w:r>
      <w:r w:rsidR="003C09F9" w:rsidRPr="002F4565">
        <w:rPr>
          <w:lang w:val="pt-BR"/>
        </w:rPr>
        <w:t xml:space="preserve">apoiam a </w:t>
      </w:r>
      <w:proofErr w:type="gramStart"/>
      <w:r w:rsidR="003C09F9" w:rsidRPr="002F4565">
        <w:rPr>
          <w:lang w:val="pt-BR"/>
        </w:rPr>
        <w:t>auto</w:t>
      </w:r>
      <w:r w:rsidRPr="002F4565">
        <w:rPr>
          <w:lang w:val="pt-BR"/>
        </w:rPr>
        <w:t>-</w:t>
      </w:r>
      <w:r w:rsidR="00F21F55" w:rsidRPr="002F4565">
        <w:rPr>
          <w:lang w:val="pt-BR"/>
        </w:rPr>
        <w:t>regulamentação</w:t>
      </w:r>
      <w:proofErr w:type="gramEnd"/>
      <w:r w:rsidRPr="002F4565">
        <w:rPr>
          <w:lang w:val="pt-BR"/>
        </w:rPr>
        <w:t xml:space="preserve"> </w:t>
      </w:r>
      <w:r w:rsidR="0049090C" w:rsidRPr="002F4565">
        <w:rPr>
          <w:lang w:val="pt-BR"/>
        </w:rPr>
        <w:t>e</w:t>
      </w:r>
      <w:r w:rsidRPr="002F4565">
        <w:rPr>
          <w:lang w:val="pt-BR"/>
        </w:rPr>
        <w:t xml:space="preserve"> </w:t>
      </w:r>
      <w:r w:rsidR="003C09F9" w:rsidRPr="002F4565">
        <w:rPr>
          <w:lang w:val="pt-BR"/>
        </w:rPr>
        <w:t xml:space="preserve">permitem que fabricantes de </w:t>
      </w:r>
      <w:r w:rsidR="0049090C" w:rsidRPr="002F4565">
        <w:rPr>
          <w:lang w:val="pt-BR"/>
        </w:rPr>
        <w:t>alimento</w:t>
      </w:r>
      <w:r w:rsidR="003C09F9" w:rsidRPr="002F4565">
        <w:rPr>
          <w:lang w:val="pt-BR"/>
        </w:rPr>
        <w:t>s</w:t>
      </w:r>
      <w:r w:rsidRPr="002F4565">
        <w:rPr>
          <w:lang w:val="pt-BR"/>
        </w:rPr>
        <w:t xml:space="preserve"> </w:t>
      </w:r>
      <w:r w:rsidR="003C09F9" w:rsidRPr="002F4565">
        <w:rPr>
          <w:lang w:val="pt-BR"/>
        </w:rPr>
        <w:t xml:space="preserve">regulem </w:t>
      </w:r>
      <w:r w:rsidRPr="002F4565">
        <w:rPr>
          <w:lang w:val="pt-BR"/>
        </w:rPr>
        <w:t>volunt</w:t>
      </w:r>
      <w:r w:rsidR="003C09F9" w:rsidRPr="002F4565">
        <w:rPr>
          <w:lang w:val="pt-BR"/>
        </w:rPr>
        <w:t>ariamente</w:t>
      </w:r>
      <w:r w:rsidRPr="002F4565">
        <w:rPr>
          <w:lang w:val="pt-BR"/>
        </w:rPr>
        <w:t xml:space="preserve"> </w:t>
      </w:r>
      <w:r w:rsidR="003C09F9" w:rsidRPr="002F4565">
        <w:rPr>
          <w:lang w:val="pt-BR"/>
        </w:rPr>
        <w:t>suas práticas</w:t>
      </w:r>
      <w:r w:rsidRPr="002F4565">
        <w:rPr>
          <w:lang w:val="pt-BR"/>
        </w:rPr>
        <w:t xml:space="preserve"> </w:t>
      </w:r>
      <w:r w:rsidR="003C09F9" w:rsidRPr="002F4565">
        <w:rPr>
          <w:lang w:val="pt-BR"/>
        </w:rPr>
        <w:t xml:space="preserve">relacionadas com </w:t>
      </w:r>
      <w:r w:rsidR="00BC3868" w:rsidRPr="002F4565">
        <w:rPr>
          <w:lang w:val="pt-BR"/>
        </w:rPr>
        <w:t>a publicidade</w:t>
      </w:r>
      <w:r w:rsidRPr="002F4565">
        <w:rPr>
          <w:lang w:val="pt-BR"/>
        </w:rPr>
        <w:t xml:space="preserve"> </w:t>
      </w:r>
      <w:r w:rsidR="0049090C" w:rsidRPr="002F4565">
        <w:rPr>
          <w:lang w:val="pt-BR"/>
        </w:rPr>
        <w:t>e</w:t>
      </w:r>
      <w:r w:rsidRPr="002F4565">
        <w:rPr>
          <w:lang w:val="pt-BR"/>
        </w:rPr>
        <w:t xml:space="preserve"> </w:t>
      </w:r>
      <w:r w:rsidR="003C09F9" w:rsidRPr="002F4565">
        <w:rPr>
          <w:lang w:val="pt-BR"/>
        </w:rPr>
        <w:t xml:space="preserve">teor </w:t>
      </w:r>
      <w:r w:rsidR="0040430A" w:rsidRPr="002F4565">
        <w:rPr>
          <w:lang w:val="pt-BR"/>
        </w:rPr>
        <w:t>nutricional</w:t>
      </w:r>
      <w:r w:rsidRPr="002F4565">
        <w:rPr>
          <w:lang w:val="pt-BR"/>
        </w:rPr>
        <w:t xml:space="preserve"> </w:t>
      </w:r>
      <w:r w:rsidR="0049090C" w:rsidRPr="002F4565">
        <w:rPr>
          <w:lang w:val="pt-BR"/>
        </w:rPr>
        <w:t>d</w:t>
      </w:r>
      <w:r w:rsidR="003C09F9" w:rsidRPr="002F4565">
        <w:rPr>
          <w:lang w:val="pt-BR"/>
        </w:rPr>
        <w:t>os</w:t>
      </w:r>
      <w:r w:rsidRPr="002F4565">
        <w:rPr>
          <w:lang w:val="pt-BR"/>
        </w:rPr>
        <w:t xml:space="preserve"> </w:t>
      </w:r>
      <w:r w:rsidR="00261A8A" w:rsidRPr="002F4565">
        <w:rPr>
          <w:lang w:val="pt-BR"/>
        </w:rPr>
        <w:t>alimentos pouco saudáveis</w:t>
      </w:r>
      <w:r w:rsidRPr="002F4565">
        <w:rPr>
          <w:lang w:val="pt-BR"/>
        </w:rPr>
        <w:t xml:space="preserve"> </w:t>
      </w:r>
      <w:r w:rsidR="003C09F9" w:rsidRPr="002F4565">
        <w:rPr>
          <w:lang w:val="pt-BR"/>
        </w:rPr>
        <w:t xml:space="preserve">para </w:t>
      </w:r>
      <w:r w:rsidR="00802E44" w:rsidRPr="002F4565">
        <w:rPr>
          <w:lang w:val="pt-BR"/>
        </w:rPr>
        <w:t>crianças</w:t>
      </w:r>
      <w:r w:rsidRPr="002F4565">
        <w:rPr>
          <w:lang w:val="pt-BR"/>
        </w:rPr>
        <w:t>.</w:t>
      </w:r>
      <w:r w:rsidRPr="002F4565">
        <w:rPr>
          <w:vertAlign w:val="superscript"/>
          <w:lang w:val="pt-BR"/>
        </w:rPr>
        <w:t>37</w:t>
      </w:r>
      <w:r w:rsidRPr="002F4565">
        <w:rPr>
          <w:lang w:val="pt-BR"/>
        </w:rPr>
        <w:t xml:space="preserve"> </w:t>
      </w:r>
      <w:r w:rsidR="003C09F9" w:rsidRPr="002F4565">
        <w:rPr>
          <w:lang w:val="pt-BR"/>
        </w:rPr>
        <w:t>As c</w:t>
      </w:r>
      <w:r w:rsidR="00FB4DE4" w:rsidRPr="002F4565">
        <w:rPr>
          <w:lang w:val="pt-BR"/>
        </w:rPr>
        <w:t>ompanhias</w:t>
      </w:r>
      <w:r w:rsidRPr="002F4565">
        <w:rPr>
          <w:lang w:val="pt-BR"/>
        </w:rPr>
        <w:t xml:space="preserve"> </w:t>
      </w:r>
      <w:r w:rsidR="003C09F9" w:rsidRPr="002F4565">
        <w:rPr>
          <w:lang w:val="pt-BR"/>
        </w:rPr>
        <w:t xml:space="preserve">muitas vezes </w:t>
      </w:r>
      <w:r w:rsidR="00072E1E" w:rsidRPr="002F4565">
        <w:rPr>
          <w:lang w:val="pt-BR"/>
        </w:rPr>
        <w:t>adota</w:t>
      </w:r>
      <w:r w:rsidR="003C09F9" w:rsidRPr="002F4565">
        <w:rPr>
          <w:lang w:val="pt-BR"/>
        </w:rPr>
        <w:t>m</w:t>
      </w:r>
      <w:r w:rsidRPr="002F4565">
        <w:rPr>
          <w:lang w:val="pt-BR"/>
        </w:rPr>
        <w:t xml:space="preserve"> </w:t>
      </w:r>
      <w:r w:rsidR="009B3C1E" w:rsidRPr="002F4565">
        <w:rPr>
          <w:lang w:val="pt-BR"/>
        </w:rPr>
        <w:t xml:space="preserve">voluntariamente </w:t>
      </w:r>
      <w:r w:rsidR="002E1AA7" w:rsidRPr="002F4565">
        <w:rPr>
          <w:lang w:val="pt-BR"/>
        </w:rPr>
        <w:t>diretrizes</w:t>
      </w:r>
      <w:r w:rsidRPr="002F4565">
        <w:rPr>
          <w:lang w:val="pt-BR"/>
        </w:rPr>
        <w:t xml:space="preserve"> </w:t>
      </w:r>
      <w:r w:rsidR="0049090C" w:rsidRPr="002F4565">
        <w:rPr>
          <w:lang w:val="pt-BR"/>
        </w:rPr>
        <w:t>e</w:t>
      </w:r>
      <w:r w:rsidRPr="002F4565">
        <w:rPr>
          <w:lang w:val="pt-BR"/>
        </w:rPr>
        <w:t xml:space="preserve"> </w:t>
      </w:r>
      <w:r w:rsidR="003C09F9" w:rsidRPr="002F4565">
        <w:rPr>
          <w:lang w:val="pt-BR"/>
        </w:rPr>
        <w:t>padrões</w:t>
      </w:r>
      <w:r w:rsidRPr="002F4565">
        <w:rPr>
          <w:lang w:val="pt-BR"/>
        </w:rPr>
        <w:t xml:space="preserve"> </w:t>
      </w:r>
      <w:r w:rsidR="003C09F9" w:rsidRPr="002F4565">
        <w:rPr>
          <w:lang w:val="pt-BR"/>
        </w:rPr>
        <w:t xml:space="preserve">auto-formulados para restringir a </w:t>
      </w:r>
      <w:r w:rsidR="00F21F55" w:rsidRPr="002F4565">
        <w:rPr>
          <w:lang w:val="pt-BR"/>
        </w:rPr>
        <w:t>regulamentação</w:t>
      </w:r>
      <w:r w:rsidRPr="002F4565">
        <w:rPr>
          <w:lang w:val="pt-BR"/>
        </w:rPr>
        <w:t xml:space="preserve"> </w:t>
      </w:r>
      <w:r w:rsidR="003C09F9" w:rsidRPr="002F4565">
        <w:rPr>
          <w:lang w:val="pt-BR"/>
        </w:rPr>
        <w:t xml:space="preserve">governamental </w:t>
      </w:r>
      <w:r w:rsidR="0049090C" w:rsidRPr="002F4565">
        <w:rPr>
          <w:lang w:val="pt-BR"/>
        </w:rPr>
        <w:t>e</w:t>
      </w:r>
      <w:r w:rsidRPr="002F4565">
        <w:rPr>
          <w:lang w:val="pt-BR"/>
        </w:rPr>
        <w:t xml:space="preserve"> respond</w:t>
      </w:r>
      <w:r w:rsidR="003C09F9" w:rsidRPr="002F4565">
        <w:rPr>
          <w:lang w:val="pt-BR"/>
        </w:rPr>
        <w:t>er às demandas públicas</w:t>
      </w:r>
      <w:r w:rsidRPr="002F4565">
        <w:rPr>
          <w:lang w:val="pt-BR"/>
        </w:rPr>
        <w:t xml:space="preserve">. </w:t>
      </w:r>
      <w:r w:rsidR="003C09F9" w:rsidRPr="002F4565">
        <w:rPr>
          <w:lang w:val="pt-BR"/>
        </w:rPr>
        <w:t xml:space="preserve">As fabricantes </w:t>
      </w:r>
      <w:r w:rsidR="00F21F55" w:rsidRPr="002F4565">
        <w:rPr>
          <w:lang w:val="pt-BR"/>
        </w:rPr>
        <w:t>também</w:t>
      </w:r>
      <w:r w:rsidRPr="002F4565">
        <w:rPr>
          <w:lang w:val="pt-BR"/>
        </w:rPr>
        <w:t xml:space="preserve"> </w:t>
      </w:r>
      <w:r w:rsidR="003C09F9" w:rsidRPr="002F4565">
        <w:rPr>
          <w:lang w:val="pt-BR"/>
        </w:rPr>
        <w:t xml:space="preserve">adotam inciativas conjuntas </w:t>
      </w:r>
      <w:r w:rsidR="0049090C" w:rsidRPr="002F4565">
        <w:rPr>
          <w:lang w:val="pt-BR"/>
        </w:rPr>
        <w:t>e</w:t>
      </w:r>
      <w:r w:rsidRPr="002F4565">
        <w:rPr>
          <w:lang w:val="pt-BR"/>
        </w:rPr>
        <w:t xml:space="preserve"> </w:t>
      </w:r>
      <w:r w:rsidR="002E1AA7" w:rsidRPr="002F4565">
        <w:rPr>
          <w:lang w:val="pt-BR"/>
        </w:rPr>
        <w:t>formula</w:t>
      </w:r>
      <w:r w:rsidR="003C09F9" w:rsidRPr="002F4565">
        <w:rPr>
          <w:lang w:val="pt-BR"/>
        </w:rPr>
        <w:t xml:space="preserve">m </w:t>
      </w:r>
      <w:r w:rsidR="002E1AA7" w:rsidRPr="002F4565">
        <w:rPr>
          <w:lang w:val="pt-BR"/>
        </w:rPr>
        <w:t>diretrizes</w:t>
      </w:r>
      <w:r w:rsidRPr="002F4565">
        <w:rPr>
          <w:lang w:val="pt-BR"/>
        </w:rPr>
        <w:t xml:space="preserve"> </w:t>
      </w:r>
      <w:r w:rsidR="003C09F9" w:rsidRPr="002F4565">
        <w:rPr>
          <w:lang w:val="pt-BR"/>
        </w:rPr>
        <w:t xml:space="preserve">para </w:t>
      </w:r>
      <w:r w:rsidR="009B3C1E" w:rsidRPr="002F4565">
        <w:rPr>
          <w:lang w:val="pt-BR"/>
        </w:rPr>
        <w:t xml:space="preserve">que </w:t>
      </w:r>
      <w:r w:rsidR="003C09F9" w:rsidRPr="002F4565">
        <w:rPr>
          <w:lang w:val="pt-BR"/>
        </w:rPr>
        <w:t xml:space="preserve">as </w:t>
      </w:r>
      <w:r w:rsidR="00FB4DE4" w:rsidRPr="002F4565">
        <w:rPr>
          <w:lang w:val="pt-BR"/>
        </w:rPr>
        <w:t>companhias</w:t>
      </w:r>
      <w:r w:rsidRPr="002F4565">
        <w:rPr>
          <w:lang w:val="pt-BR"/>
        </w:rPr>
        <w:t xml:space="preserve"> </w:t>
      </w:r>
      <w:r w:rsidR="003C09F9" w:rsidRPr="002F4565">
        <w:rPr>
          <w:lang w:val="pt-BR"/>
        </w:rPr>
        <w:t>associadas restrin</w:t>
      </w:r>
      <w:r w:rsidR="009B3C1E" w:rsidRPr="002F4565">
        <w:rPr>
          <w:lang w:val="pt-BR"/>
        </w:rPr>
        <w:t xml:space="preserve">jam </w:t>
      </w:r>
      <w:r w:rsidR="003C09F9" w:rsidRPr="002F4565">
        <w:rPr>
          <w:lang w:val="pt-BR"/>
        </w:rPr>
        <w:t xml:space="preserve">a </w:t>
      </w:r>
      <w:r w:rsidR="007D3BE3" w:rsidRPr="002F4565">
        <w:rPr>
          <w:lang w:val="pt-BR"/>
        </w:rPr>
        <w:t>propaganda</w:t>
      </w:r>
      <w:r w:rsidRPr="002F4565">
        <w:rPr>
          <w:lang w:val="pt-BR"/>
        </w:rPr>
        <w:t xml:space="preserve"> </w:t>
      </w:r>
      <w:r w:rsidR="0049090C" w:rsidRPr="002F4565">
        <w:rPr>
          <w:lang w:val="pt-BR"/>
        </w:rPr>
        <w:t>e</w:t>
      </w:r>
      <w:r w:rsidRPr="002F4565">
        <w:rPr>
          <w:lang w:val="pt-BR"/>
        </w:rPr>
        <w:t xml:space="preserve"> promo</w:t>
      </w:r>
      <w:r w:rsidR="003C09F9" w:rsidRPr="002F4565">
        <w:rPr>
          <w:lang w:val="pt-BR"/>
        </w:rPr>
        <w:t>v</w:t>
      </w:r>
      <w:r w:rsidR="009B3C1E" w:rsidRPr="002F4565">
        <w:rPr>
          <w:lang w:val="pt-BR"/>
        </w:rPr>
        <w:t>am</w:t>
      </w:r>
      <w:r w:rsidR="003C09F9" w:rsidRPr="002F4565">
        <w:rPr>
          <w:lang w:val="pt-BR"/>
        </w:rPr>
        <w:t xml:space="preserve"> práticas</w:t>
      </w:r>
      <w:r w:rsidRPr="002F4565">
        <w:rPr>
          <w:lang w:val="pt-BR"/>
        </w:rPr>
        <w:t xml:space="preserve"> </w:t>
      </w:r>
      <w:r w:rsidR="003C09F9" w:rsidRPr="002F4565">
        <w:rPr>
          <w:lang w:val="pt-BR"/>
        </w:rPr>
        <w:t xml:space="preserve">referentes a </w:t>
      </w:r>
      <w:r w:rsidR="00802E44" w:rsidRPr="002F4565">
        <w:rPr>
          <w:lang w:val="pt-BR"/>
        </w:rPr>
        <w:t>crianças</w:t>
      </w:r>
      <w:r w:rsidRPr="002F4565">
        <w:rPr>
          <w:lang w:val="pt-BR"/>
        </w:rPr>
        <w:t xml:space="preserve">. </w:t>
      </w:r>
      <w:r w:rsidR="00FB4DE4" w:rsidRPr="002F4565">
        <w:rPr>
          <w:lang w:val="pt-BR"/>
        </w:rPr>
        <w:t>No entanto</w:t>
      </w:r>
      <w:r w:rsidRPr="002F4565">
        <w:rPr>
          <w:lang w:val="pt-BR"/>
        </w:rPr>
        <w:t xml:space="preserve">, </w:t>
      </w:r>
      <w:r w:rsidR="003C09F9" w:rsidRPr="002F4565">
        <w:rPr>
          <w:lang w:val="pt-BR"/>
        </w:rPr>
        <w:t xml:space="preserve">a </w:t>
      </w:r>
      <w:proofErr w:type="gramStart"/>
      <w:r w:rsidR="003C09F9" w:rsidRPr="002F4565">
        <w:rPr>
          <w:lang w:val="pt-BR"/>
        </w:rPr>
        <w:t>auto</w:t>
      </w:r>
      <w:r w:rsidRPr="002F4565">
        <w:rPr>
          <w:lang w:val="pt-BR"/>
        </w:rPr>
        <w:t>-</w:t>
      </w:r>
      <w:r w:rsidR="00F21F55" w:rsidRPr="002F4565">
        <w:rPr>
          <w:lang w:val="pt-BR"/>
        </w:rPr>
        <w:t>regulamentação</w:t>
      </w:r>
      <w:proofErr w:type="gramEnd"/>
      <w:r w:rsidRPr="002F4565">
        <w:rPr>
          <w:lang w:val="pt-BR"/>
        </w:rPr>
        <w:t xml:space="preserve"> </w:t>
      </w:r>
      <w:r w:rsidR="003C09F9" w:rsidRPr="002F4565">
        <w:rPr>
          <w:lang w:val="pt-BR"/>
        </w:rPr>
        <w:t xml:space="preserve">pelas </w:t>
      </w:r>
      <w:r w:rsidR="00FB4DE4" w:rsidRPr="002F4565">
        <w:rPr>
          <w:lang w:val="pt-BR"/>
        </w:rPr>
        <w:t>companhias</w:t>
      </w:r>
      <w:r w:rsidRPr="002F4565">
        <w:rPr>
          <w:lang w:val="pt-BR"/>
        </w:rPr>
        <w:t xml:space="preserve"> </w:t>
      </w:r>
      <w:r w:rsidR="003C09F9" w:rsidRPr="002F4565">
        <w:rPr>
          <w:lang w:val="pt-BR"/>
        </w:rPr>
        <w:t xml:space="preserve">não teve efeito significativo na mudança das estratégias de </w:t>
      </w:r>
      <w:r w:rsidR="00BC3868" w:rsidRPr="002F4565">
        <w:rPr>
          <w:lang w:val="pt-BR"/>
        </w:rPr>
        <w:t>publicidade</w:t>
      </w:r>
      <w:r w:rsidR="007E67D2" w:rsidRPr="002F4565">
        <w:rPr>
          <w:lang w:val="pt-BR"/>
        </w:rPr>
        <w:t xml:space="preserve"> de alimentos</w:t>
      </w:r>
      <w:r w:rsidRPr="002F4565">
        <w:rPr>
          <w:lang w:val="pt-BR"/>
        </w:rPr>
        <w:t>.</w:t>
      </w:r>
      <w:r w:rsidRPr="002F4565">
        <w:rPr>
          <w:vertAlign w:val="superscript"/>
          <w:lang w:val="pt-BR"/>
        </w:rPr>
        <w:t>38</w:t>
      </w:r>
      <w:r w:rsidRPr="002F4565">
        <w:rPr>
          <w:lang w:val="pt-BR"/>
        </w:rPr>
        <w:t xml:space="preserve"> </w:t>
      </w:r>
      <w:r w:rsidR="009B3C1E" w:rsidRPr="002F4565">
        <w:rPr>
          <w:lang w:val="pt-BR"/>
        </w:rPr>
        <w:t>D</w:t>
      </w:r>
      <w:r w:rsidR="003C09F9" w:rsidRPr="002F4565">
        <w:rPr>
          <w:lang w:val="pt-BR"/>
        </w:rPr>
        <w:t>evido a uma série de motivos</w:t>
      </w:r>
      <w:r w:rsidRPr="002F4565">
        <w:rPr>
          <w:lang w:val="pt-BR"/>
        </w:rPr>
        <w:t xml:space="preserve">, </w:t>
      </w:r>
      <w:r w:rsidR="003C09F9" w:rsidRPr="002F4565">
        <w:rPr>
          <w:lang w:val="pt-BR"/>
        </w:rPr>
        <w:t xml:space="preserve">como a natureza não obrigatória </w:t>
      </w:r>
      <w:r w:rsidR="0049090C" w:rsidRPr="002F4565">
        <w:rPr>
          <w:lang w:val="pt-BR"/>
        </w:rPr>
        <w:t>d</w:t>
      </w:r>
      <w:r w:rsidR="003C09F9" w:rsidRPr="002F4565">
        <w:rPr>
          <w:lang w:val="pt-BR"/>
        </w:rPr>
        <w:t>a</w:t>
      </w:r>
      <w:r w:rsidRPr="002F4565">
        <w:rPr>
          <w:lang w:val="pt-BR"/>
        </w:rPr>
        <w:t xml:space="preserve"> </w:t>
      </w:r>
      <w:r w:rsidR="003C09F9" w:rsidRPr="002F4565">
        <w:rPr>
          <w:lang w:val="pt-BR"/>
        </w:rPr>
        <w:t>auto-</w:t>
      </w:r>
      <w:r w:rsidR="00F21F55" w:rsidRPr="002F4565">
        <w:rPr>
          <w:lang w:val="pt-BR"/>
        </w:rPr>
        <w:t>regulamentação</w:t>
      </w:r>
      <w:r w:rsidRPr="002F4565">
        <w:rPr>
          <w:lang w:val="pt-BR"/>
        </w:rPr>
        <w:t xml:space="preserve">, </w:t>
      </w:r>
      <w:r w:rsidR="003C09F9" w:rsidRPr="002F4565">
        <w:rPr>
          <w:lang w:val="pt-BR"/>
        </w:rPr>
        <w:t xml:space="preserve">falta de </w:t>
      </w:r>
      <w:r w:rsidR="00C47496" w:rsidRPr="002F4565">
        <w:rPr>
          <w:lang w:val="pt-BR"/>
        </w:rPr>
        <w:t>padrões de referência</w:t>
      </w:r>
      <w:r w:rsidRPr="002F4565">
        <w:rPr>
          <w:lang w:val="pt-BR"/>
        </w:rPr>
        <w:t xml:space="preserve"> </w:t>
      </w:r>
      <w:r w:rsidR="0049090C" w:rsidRPr="002F4565">
        <w:rPr>
          <w:lang w:val="pt-BR"/>
        </w:rPr>
        <w:t>e</w:t>
      </w:r>
      <w:r w:rsidRPr="002F4565">
        <w:rPr>
          <w:lang w:val="pt-BR"/>
        </w:rPr>
        <w:t xml:space="preserve"> transpar</w:t>
      </w:r>
      <w:r w:rsidR="003C09F9" w:rsidRPr="002F4565">
        <w:rPr>
          <w:lang w:val="pt-BR"/>
        </w:rPr>
        <w:t>ência</w:t>
      </w:r>
      <w:r w:rsidRPr="002F4565">
        <w:rPr>
          <w:lang w:val="pt-BR"/>
        </w:rPr>
        <w:t xml:space="preserve">, </w:t>
      </w:r>
      <w:r w:rsidR="003C09F9" w:rsidRPr="002F4565">
        <w:rPr>
          <w:lang w:val="pt-BR"/>
        </w:rPr>
        <w:t>definição</w:t>
      </w:r>
      <w:r w:rsidRPr="002F4565">
        <w:rPr>
          <w:lang w:val="pt-BR"/>
        </w:rPr>
        <w:t xml:space="preserve"> </w:t>
      </w:r>
      <w:r w:rsidR="003C09F9" w:rsidRPr="002F4565">
        <w:rPr>
          <w:lang w:val="pt-BR"/>
        </w:rPr>
        <w:t xml:space="preserve">inconsistente </w:t>
      </w:r>
      <w:r w:rsidR="009B3C1E" w:rsidRPr="002F4565">
        <w:rPr>
          <w:lang w:val="pt-BR"/>
        </w:rPr>
        <w:t>referente a</w:t>
      </w:r>
      <w:r w:rsidRPr="002F4565">
        <w:rPr>
          <w:lang w:val="pt-BR"/>
        </w:rPr>
        <w:t xml:space="preserve"> </w:t>
      </w:r>
      <w:r w:rsidR="00802E44" w:rsidRPr="002F4565">
        <w:rPr>
          <w:lang w:val="pt-BR"/>
        </w:rPr>
        <w:t>crianças</w:t>
      </w:r>
      <w:r w:rsidRPr="002F4565">
        <w:rPr>
          <w:lang w:val="pt-BR"/>
        </w:rPr>
        <w:t xml:space="preserve"> </w:t>
      </w:r>
      <w:r w:rsidR="0049090C" w:rsidRPr="002F4565">
        <w:rPr>
          <w:lang w:val="pt-BR"/>
        </w:rPr>
        <w:t>e</w:t>
      </w:r>
      <w:r w:rsidRPr="002F4565">
        <w:rPr>
          <w:lang w:val="pt-BR"/>
        </w:rPr>
        <w:t xml:space="preserve"> </w:t>
      </w:r>
      <w:r w:rsidR="003C09F9" w:rsidRPr="002F4565">
        <w:rPr>
          <w:lang w:val="pt-BR"/>
        </w:rPr>
        <w:t xml:space="preserve">critérios </w:t>
      </w:r>
      <w:r w:rsidR="002E1AA7" w:rsidRPr="002F4565">
        <w:rPr>
          <w:lang w:val="pt-BR"/>
        </w:rPr>
        <w:t>diferentes</w:t>
      </w:r>
      <w:r w:rsidRPr="002F4565">
        <w:rPr>
          <w:lang w:val="pt-BR"/>
        </w:rPr>
        <w:t xml:space="preserve"> </w:t>
      </w:r>
      <w:r w:rsidR="003C09F9" w:rsidRPr="002F4565">
        <w:rPr>
          <w:lang w:val="pt-BR"/>
        </w:rPr>
        <w:t xml:space="preserve">de </w:t>
      </w:r>
      <w:r w:rsidR="003F41C2" w:rsidRPr="002F4565">
        <w:rPr>
          <w:lang w:val="pt-BR"/>
        </w:rPr>
        <w:t>nutrição</w:t>
      </w:r>
      <w:r w:rsidRPr="002F4565">
        <w:rPr>
          <w:lang w:val="pt-BR"/>
        </w:rPr>
        <w:t xml:space="preserve">, </w:t>
      </w:r>
      <w:r w:rsidR="003C09F9" w:rsidRPr="002F4565">
        <w:rPr>
          <w:lang w:val="pt-BR"/>
        </w:rPr>
        <w:t xml:space="preserve">as </w:t>
      </w:r>
      <w:r w:rsidR="00FB4DE4" w:rsidRPr="002F4565">
        <w:rPr>
          <w:lang w:val="pt-BR"/>
        </w:rPr>
        <w:t>companhias</w:t>
      </w:r>
      <w:r w:rsidRPr="002F4565">
        <w:rPr>
          <w:lang w:val="pt-BR"/>
        </w:rPr>
        <w:t xml:space="preserve"> </w:t>
      </w:r>
      <w:r w:rsidR="003C09F9" w:rsidRPr="002F4565">
        <w:rPr>
          <w:lang w:val="pt-BR"/>
        </w:rPr>
        <w:t xml:space="preserve">conseguem driblar as </w:t>
      </w:r>
      <w:r w:rsidR="002E1AA7" w:rsidRPr="002F4565">
        <w:rPr>
          <w:lang w:val="pt-BR"/>
        </w:rPr>
        <w:t>diretrizes</w:t>
      </w:r>
      <w:r w:rsidRPr="002F4565">
        <w:rPr>
          <w:lang w:val="pt-BR"/>
        </w:rPr>
        <w:t xml:space="preserve">, </w:t>
      </w:r>
      <w:r w:rsidR="003C09F9" w:rsidRPr="002F4565">
        <w:rPr>
          <w:lang w:val="pt-BR"/>
        </w:rPr>
        <w:t xml:space="preserve">bloqueando o efeito pretendido </w:t>
      </w:r>
      <w:r w:rsidR="0049090C" w:rsidRPr="002F4565">
        <w:rPr>
          <w:lang w:val="pt-BR"/>
        </w:rPr>
        <w:t>d</w:t>
      </w:r>
      <w:r w:rsidR="003C09F9" w:rsidRPr="002F4565">
        <w:rPr>
          <w:lang w:val="pt-BR"/>
        </w:rPr>
        <w:t>as</w:t>
      </w:r>
      <w:r w:rsidRPr="002F4565">
        <w:rPr>
          <w:lang w:val="pt-BR"/>
        </w:rPr>
        <w:t xml:space="preserve"> </w:t>
      </w:r>
      <w:r w:rsidR="002E1AA7" w:rsidRPr="002F4565">
        <w:rPr>
          <w:lang w:val="pt-BR"/>
        </w:rPr>
        <w:t>diretrizes</w:t>
      </w:r>
      <w:r w:rsidRPr="002F4565">
        <w:rPr>
          <w:lang w:val="pt-BR"/>
        </w:rPr>
        <w:t xml:space="preserve"> </w:t>
      </w:r>
      <w:r w:rsidR="003C09F9" w:rsidRPr="002F4565">
        <w:rPr>
          <w:lang w:val="pt-BR"/>
        </w:rPr>
        <w:t xml:space="preserve">de </w:t>
      </w:r>
      <w:r w:rsidR="00BC3868" w:rsidRPr="002F4565">
        <w:rPr>
          <w:lang w:val="pt-BR"/>
        </w:rPr>
        <w:t>publicidade</w:t>
      </w:r>
      <w:r w:rsidR="003C09F9" w:rsidRPr="002F4565">
        <w:rPr>
          <w:lang w:val="pt-BR"/>
        </w:rPr>
        <w:t xml:space="preserve"> por elas instituídas</w:t>
      </w:r>
      <w:r w:rsidRPr="002F4565">
        <w:rPr>
          <w:lang w:val="pt-BR"/>
        </w:rPr>
        <w:t>.</w:t>
      </w:r>
    </w:p>
    <w:p w:rsidR="00115B91" w:rsidRPr="002F4565" w:rsidRDefault="00115B91" w:rsidP="0051636A">
      <w:pPr>
        <w:spacing w:before="120" w:after="0" w:line="240" w:lineRule="auto"/>
        <w:rPr>
          <w:lang w:val="pt-BR"/>
        </w:rPr>
      </w:pPr>
      <w:r w:rsidRPr="002F4565">
        <w:rPr>
          <w:lang w:val="pt-BR"/>
        </w:rPr>
        <w:lastRenderedPageBreak/>
        <w:t xml:space="preserve">24. </w:t>
      </w:r>
      <w:r w:rsidR="003C09F9" w:rsidRPr="002F4565">
        <w:rPr>
          <w:lang w:val="pt-BR"/>
        </w:rPr>
        <w:t xml:space="preserve">A </w:t>
      </w:r>
      <w:r w:rsidR="009B3C1E" w:rsidRPr="002F4565">
        <w:rPr>
          <w:lang w:val="pt-BR"/>
        </w:rPr>
        <w:t xml:space="preserve">parceria </w:t>
      </w:r>
      <w:r w:rsidR="00261A8A" w:rsidRPr="002F4565">
        <w:rPr>
          <w:lang w:val="pt-BR"/>
        </w:rPr>
        <w:t>entre</w:t>
      </w:r>
      <w:r w:rsidRPr="002F4565">
        <w:rPr>
          <w:lang w:val="pt-BR"/>
        </w:rPr>
        <w:t xml:space="preserve"> </w:t>
      </w:r>
      <w:r w:rsidR="003C09F9" w:rsidRPr="002F4565">
        <w:rPr>
          <w:lang w:val="pt-BR"/>
        </w:rPr>
        <w:t>governo</w:t>
      </w:r>
      <w:r w:rsidRPr="002F4565">
        <w:rPr>
          <w:lang w:val="pt-BR"/>
        </w:rPr>
        <w:t xml:space="preserve">s </w:t>
      </w:r>
      <w:r w:rsidR="0049090C" w:rsidRPr="002F4565">
        <w:rPr>
          <w:lang w:val="pt-BR"/>
        </w:rPr>
        <w:t>e</w:t>
      </w:r>
      <w:r w:rsidRPr="002F4565">
        <w:rPr>
          <w:lang w:val="pt-BR"/>
        </w:rPr>
        <w:t xml:space="preserve"> </w:t>
      </w:r>
      <w:r w:rsidR="003C09F9" w:rsidRPr="002F4565">
        <w:rPr>
          <w:lang w:val="pt-BR"/>
        </w:rPr>
        <w:t>fabricantes de alimentos</w:t>
      </w:r>
      <w:r w:rsidRPr="002F4565">
        <w:rPr>
          <w:lang w:val="pt-BR"/>
        </w:rPr>
        <w:t xml:space="preserve"> </w:t>
      </w:r>
      <w:r w:rsidR="003C09F9" w:rsidRPr="002F4565">
        <w:rPr>
          <w:lang w:val="pt-BR"/>
        </w:rPr>
        <w:t xml:space="preserve">é recomendada como </w:t>
      </w:r>
      <w:r w:rsidR="002E1AA7" w:rsidRPr="002F4565">
        <w:rPr>
          <w:lang w:val="pt-BR"/>
        </w:rPr>
        <w:t>alternativa</w:t>
      </w:r>
      <w:r w:rsidRPr="002F4565">
        <w:rPr>
          <w:lang w:val="pt-BR"/>
        </w:rPr>
        <w:t xml:space="preserve"> </w:t>
      </w:r>
      <w:r w:rsidR="003C09F9" w:rsidRPr="002F4565">
        <w:rPr>
          <w:lang w:val="pt-BR"/>
        </w:rPr>
        <w:t xml:space="preserve">à </w:t>
      </w:r>
      <w:proofErr w:type="gramStart"/>
      <w:r w:rsidR="003C09F9" w:rsidRPr="002F4565">
        <w:rPr>
          <w:lang w:val="pt-BR"/>
        </w:rPr>
        <w:t>auto-</w:t>
      </w:r>
      <w:r w:rsidR="00F21F55" w:rsidRPr="002F4565">
        <w:rPr>
          <w:lang w:val="pt-BR"/>
        </w:rPr>
        <w:t>regulamentação</w:t>
      </w:r>
      <w:proofErr w:type="gramEnd"/>
      <w:r w:rsidRPr="002F4565">
        <w:rPr>
          <w:lang w:val="pt-BR"/>
        </w:rPr>
        <w:t xml:space="preserve">. </w:t>
      </w:r>
      <w:r w:rsidR="003C09F9" w:rsidRPr="002F4565">
        <w:rPr>
          <w:lang w:val="pt-BR"/>
        </w:rPr>
        <w:t>Um dos principais motivos citados para a promoção de parcerias</w:t>
      </w:r>
      <w:r w:rsidRPr="002F4565">
        <w:rPr>
          <w:lang w:val="pt-BR"/>
        </w:rPr>
        <w:t xml:space="preserve"> </w:t>
      </w:r>
      <w:r w:rsidR="00261A8A" w:rsidRPr="002F4565">
        <w:rPr>
          <w:lang w:val="pt-BR"/>
        </w:rPr>
        <w:t>entre</w:t>
      </w:r>
      <w:r w:rsidRPr="002F4565">
        <w:rPr>
          <w:lang w:val="pt-BR"/>
        </w:rPr>
        <w:t xml:space="preserve"> </w:t>
      </w:r>
      <w:r w:rsidR="003C09F9" w:rsidRPr="002F4565">
        <w:rPr>
          <w:lang w:val="pt-BR"/>
        </w:rPr>
        <w:t xml:space="preserve">empresas </w:t>
      </w:r>
      <w:r w:rsidRPr="002F4565">
        <w:rPr>
          <w:lang w:val="pt-BR"/>
        </w:rPr>
        <w:t>priva</w:t>
      </w:r>
      <w:r w:rsidR="003C09F9" w:rsidRPr="002F4565">
        <w:rPr>
          <w:lang w:val="pt-BR"/>
        </w:rPr>
        <w:t>das fabricantes de alimentos</w:t>
      </w:r>
      <w:r w:rsidRPr="002F4565">
        <w:rPr>
          <w:lang w:val="pt-BR"/>
        </w:rPr>
        <w:t xml:space="preserve"> </w:t>
      </w:r>
      <w:r w:rsidR="0049090C" w:rsidRPr="002F4565">
        <w:rPr>
          <w:lang w:val="pt-BR"/>
        </w:rPr>
        <w:t>e</w:t>
      </w:r>
      <w:r w:rsidRPr="002F4565">
        <w:rPr>
          <w:lang w:val="pt-BR"/>
        </w:rPr>
        <w:t xml:space="preserve"> </w:t>
      </w:r>
      <w:r w:rsidR="003C09F9" w:rsidRPr="002F4565">
        <w:rPr>
          <w:lang w:val="pt-BR"/>
        </w:rPr>
        <w:t>os governo</w:t>
      </w:r>
      <w:r w:rsidRPr="002F4565">
        <w:rPr>
          <w:lang w:val="pt-BR"/>
        </w:rPr>
        <w:t xml:space="preserve">s </w:t>
      </w:r>
      <w:r w:rsidR="005A25F5" w:rsidRPr="002F4565">
        <w:rPr>
          <w:lang w:val="pt-BR"/>
        </w:rPr>
        <w:t>é</w:t>
      </w:r>
      <w:r w:rsidRPr="002F4565">
        <w:rPr>
          <w:lang w:val="pt-BR"/>
        </w:rPr>
        <w:t xml:space="preserve"> </w:t>
      </w:r>
      <w:r w:rsidR="006A31E1" w:rsidRPr="002F4565">
        <w:rPr>
          <w:lang w:val="pt-BR"/>
        </w:rPr>
        <w:t>que</w:t>
      </w:r>
      <w:r w:rsidRPr="002F4565">
        <w:rPr>
          <w:lang w:val="pt-BR"/>
        </w:rPr>
        <w:t xml:space="preserve"> </w:t>
      </w:r>
      <w:r w:rsidR="003C09F9" w:rsidRPr="002F4565">
        <w:rPr>
          <w:lang w:val="pt-BR"/>
        </w:rPr>
        <w:t>as fabricantes de alimentos</w:t>
      </w:r>
      <w:r w:rsidRPr="002F4565">
        <w:rPr>
          <w:lang w:val="pt-BR"/>
        </w:rPr>
        <w:t xml:space="preserve"> </w:t>
      </w:r>
      <w:r w:rsidR="003C09F9" w:rsidRPr="002F4565">
        <w:rPr>
          <w:lang w:val="pt-BR"/>
        </w:rPr>
        <w:t xml:space="preserve">conseguem </w:t>
      </w:r>
      <w:r w:rsidRPr="002F4565">
        <w:rPr>
          <w:lang w:val="pt-BR"/>
        </w:rPr>
        <w:t>promo</w:t>
      </w:r>
      <w:r w:rsidR="003C09F9" w:rsidRPr="002F4565">
        <w:rPr>
          <w:lang w:val="pt-BR"/>
        </w:rPr>
        <w:t>ver</w:t>
      </w:r>
      <w:r w:rsidRPr="002F4565">
        <w:rPr>
          <w:lang w:val="pt-BR"/>
        </w:rPr>
        <w:t xml:space="preserve"> </w:t>
      </w:r>
      <w:r w:rsidR="003C09F9" w:rsidRPr="002F4565">
        <w:rPr>
          <w:lang w:val="pt-BR"/>
        </w:rPr>
        <w:t xml:space="preserve">hábitos de alimentação </w:t>
      </w:r>
      <w:r w:rsidR="00F21F55" w:rsidRPr="002F4565">
        <w:rPr>
          <w:lang w:val="pt-BR"/>
        </w:rPr>
        <w:t>mais saudáveis</w:t>
      </w:r>
      <w:r w:rsidRPr="002F4565">
        <w:rPr>
          <w:lang w:val="pt-BR"/>
        </w:rPr>
        <w:t xml:space="preserve"> </w:t>
      </w:r>
      <w:r w:rsidR="0049090C" w:rsidRPr="002F4565">
        <w:rPr>
          <w:lang w:val="pt-BR"/>
        </w:rPr>
        <w:t>e</w:t>
      </w:r>
      <w:r w:rsidRPr="002F4565">
        <w:rPr>
          <w:lang w:val="pt-BR"/>
        </w:rPr>
        <w:t xml:space="preserve"> </w:t>
      </w:r>
      <w:r w:rsidR="0040430A" w:rsidRPr="002F4565">
        <w:rPr>
          <w:lang w:val="pt-BR"/>
        </w:rPr>
        <w:t>são</w:t>
      </w:r>
      <w:r w:rsidR="003C09F9" w:rsidRPr="002F4565">
        <w:rPr>
          <w:lang w:val="pt-BR"/>
        </w:rPr>
        <w:t>,</w:t>
      </w:r>
      <w:r w:rsidRPr="002F4565">
        <w:rPr>
          <w:lang w:val="pt-BR"/>
        </w:rPr>
        <w:t xml:space="preserve"> </w:t>
      </w:r>
      <w:r w:rsidR="00FB4401" w:rsidRPr="002F4565">
        <w:rPr>
          <w:lang w:val="pt-BR"/>
        </w:rPr>
        <w:t>portanto</w:t>
      </w:r>
      <w:r w:rsidR="003C09F9" w:rsidRPr="002F4565">
        <w:rPr>
          <w:lang w:val="pt-BR"/>
        </w:rPr>
        <w:t>,</w:t>
      </w:r>
      <w:r w:rsidRPr="002F4565">
        <w:rPr>
          <w:lang w:val="pt-BR"/>
        </w:rPr>
        <w:t xml:space="preserve"> </w:t>
      </w:r>
      <w:r w:rsidR="003C09F9" w:rsidRPr="002F4565">
        <w:rPr>
          <w:lang w:val="pt-BR"/>
        </w:rPr>
        <w:t>parte da solução</w:t>
      </w:r>
      <w:r w:rsidRPr="002F4565">
        <w:rPr>
          <w:lang w:val="pt-BR"/>
        </w:rPr>
        <w:t xml:space="preserve"> </w:t>
      </w:r>
      <w:r w:rsidR="003C09F9" w:rsidRPr="002F4565">
        <w:rPr>
          <w:lang w:val="pt-BR"/>
        </w:rPr>
        <w:t xml:space="preserve">para reduzir </w:t>
      </w:r>
      <w:r w:rsidR="0049090C" w:rsidRPr="002F4565">
        <w:rPr>
          <w:lang w:val="pt-BR"/>
        </w:rPr>
        <w:t>e</w:t>
      </w:r>
      <w:r w:rsidRPr="002F4565">
        <w:rPr>
          <w:lang w:val="pt-BR"/>
        </w:rPr>
        <w:t xml:space="preserve"> preve</w:t>
      </w:r>
      <w:r w:rsidR="003C09F9" w:rsidRPr="002F4565">
        <w:rPr>
          <w:lang w:val="pt-BR"/>
        </w:rPr>
        <w:t>nir a</w:t>
      </w:r>
      <w:r w:rsidRPr="002F4565">
        <w:rPr>
          <w:lang w:val="pt-BR"/>
        </w:rPr>
        <w:t xml:space="preserve"> </w:t>
      </w:r>
      <w:r w:rsidR="0040430A" w:rsidRPr="002F4565">
        <w:rPr>
          <w:lang w:val="pt-BR"/>
        </w:rPr>
        <w:t>epidemia</w:t>
      </w:r>
      <w:r w:rsidR="003C09F9" w:rsidRPr="002F4565">
        <w:rPr>
          <w:lang w:val="pt-BR"/>
        </w:rPr>
        <w:t xml:space="preserve"> de </w:t>
      </w:r>
      <w:proofErr w:type="gramStart"/>
      <w:r w:rsidR="003C09F9" w:rsidRPr="002F4565">
        <w:rPr>
          <w:lang w:val="pt-BR"/>
        </w:rPr>
        <w:t>obesidade</w:t>
      </w:r>
      <w:r w:rsidRPr="002F4565">
        <w:rPr>
          <w:lang w:val="pt-BR"/>
        </w:rPr>
        <w:t>.</w:t>
      </w:r>
      <w:proofErr w:type="gramEnd"/>
      <w:r w:rsidRPr="002F4565">
        <w:rPr>
          <w:vertAlign w:val="superscript"/>
          <w:lang w:val="pt-BR"/>
        </w:rPr>
        <w:t>39</w:t>
      </w:r>
      <w:r w:rsidRPr="002F4565">
        <w:rPr>
          <w:lang w:val="pt-BR"/>
        </w:rPr>
        <w:t xml:space="preserve"> </w:t>
      </w:r>
      <w:r w:rsidR="00FB4DE4" w:rsidRPr="002F4565">
        <w:rPr>
          <w:lang w:val="pt-BR"/>
        </w:rPr>
        <w:t>No entanto</w:t>
      </w:r>
      <w:r w:rsidRPr="002F4565">
        <w:rPr>
          <w:lang w:val="pt-BR"/>
        </w:rPr>
        <w:t xml:space="preserve">, </w:t>
      </w:r>
      <w:r w:rsidR="00261A8A" w:rsidRPr="002F4565">
        <w:rPr>
          <w:lang w:val="pt-BR"/>
        </w:rPr>
        <w:t>o</w:t>
      </w:r>
      <w:r w:rsidRPr="002F4565">
        <w:rPr>
          <w:lang w:val="pt-BR"/>
        </w:rPr>
        <w:t xml:space="preserve"> </w:t>
      </w:r>
      <w:r w:rsidR="003C09F9" w:rsidRPr="002F4565">
        <w:rPr>
          <w:lang w:val="pt-BR"/>
        </w:rPr>
        <w:t>conflito</w:t>
      </w:r>
      <w:r w:rsidRPr="002F4565">
        <w:rPr>
          <w:lang w:val="pt-BR"/>
        </w:rPr>
        <w:t xml:space="preserve"> </w:t>
      </w:r>
      <w:r w:rsidR="0049090C" w:rsidRPr="002F4565">
        <w:rPr>
          <w:lang w:val="pt-BR"/>
        </w:rPr>
        <w:t>de</w:t>
      </w:r>
      <w:r w:rsidRPr="002F4565">
        <w:rPr>
          <w:lang w:val="pt-BR"/>
        </w:rPr>
        <w:t xml:space="preserve"> interes</w:t>
      </w:r>
      <w:r w:rsidR="003C09F9" w:rsidRPr="002F4565">
        <w:rPr>
          <w:lang w:val="pt-BR"/>
        </w:rPr>
        <w:t>ses</w:t>
      </w:r>
      <w:r w:rsidRPr="002F4565">
        <w:rPr>
          <w:lang w:val="pt-BR"/>
        </w:rPr>
        <w:t xml:space="preserve"> </w:t>
      </w:r>
      <w:r w:rsidR="00261A8A" w:rsidRPr="002F4565">
        <w:rPr>
          <w:lang w:val="pt-BR"/>
        </w:rPr>
        <w:t>entre</w:t>
      </w:r>
      <w:r w:rsidRPr="002F4565">
        <w:rPr>
          <w:lang w:val="pt-BR"/>
        </w:rPr>
        <w:t xml:space="preserve"> </w:t>
      </w:r>
      <w:r w:rsidR="00261A8A" w:rsidRPr="002F4565">
        <w:rPr>
          <w:lang w:val="pt-BR"/>
        </w:rPr>
        <w:t>o</w:t>
      </w:r>
      <w:r w:rsidRPr="002F4565">
        <w:rPr>
          <w:lang w:val="pt-BR"/>
        </w:rPr>
        <w:t xml:space="preserve"> </w:t>
      </w:r>
      <w:r w:rsidR="003C09F9" w:rsidRPr="002F4565">
        <w:rPr>
          <w:lang w:val="pt-BR"/>
        </w:rPr>
        <w:t xml:space="preserve">dever do </w:t>
      </w:r>
      <w:r w:rsidR="006A31E1" w:rsidRPr="002F4565">
        <w:rPr>
          <w:lang w:val="pt-BR"/>
        </w:rPr>
        <w:t>Estado</w:t>
      </w:r>
      <w:r w:rsidR="003C09F9" w:rsidRPr="002F4565">
        <w:rPr>
          <w:lang w:val="pt-BR"/>
        </w:rPr>
        <w:t xml:space="preserve"> de </w:t>
      </w:r>
      <w:r w:rsidRPr="002F4565">
        <w:rPr>
          <w:lang w:val="pt-BR"/>
        </w:rPr>
        <w:t>promo</w:t>
      </w:r>
      <w:r w:rsidR="003C09F9" w:rsidRPr="002F4565">
        <w:rPr>
          <w:lang w:val="pt-BR"/>
        </w:rPr>
        <w:t>ver</w:t>
      </w:r>
      <w:r w:rsidRPr="002F4565">
        <w:rPr>
          <w:lang w:val="pt-BR"/>
        </w:rPr>
        <w:t xml:space="preserve"> </w:t>
      </w:r>
      <w:r w:rsidR="003C09F9" w:rsidRPr="002F4565">
        <w:rPr>
          <w:lang w:val="pt-BR"/>
        </w:rPr>
        <w:t xml:space="preserve">a </w:t>
      </w:r>
      <w:r w:rsidR="00C47496" w:rsidRPr="002F4565">
        <w:rPr>
          <w:lang w:val="pt-BR"/>
        </w:rPr>
        <w:t>saúde pública</w:t>
      </w:r>
      <w:r w:rsidRPr="002F4565">
        <w:rPr>
          <w:lang w:val="pt-BR"/>
        </w:rPr>
        <w:t xml:space="preserve"> </w:t>
      </w:r>
      <w:r w:rsidR="0049090C" w:rsidRPr="002F4565">
        <w:rPr>
          <w:lang w:val="pt-BR"/>
        </w:rPr>
        <w:t>e</w:t>
      </w:r>
      <w:r w:rsidRPr="002F4565">
        <w:rPr>
          <w:lang w:val="pt-BR"/>
        </w:rPr>
        <w:t xml:space="preserve"> </w:t>
      </w:r>
      <w:r w:rsidR="003C09F9" w:rsidRPr="002F4565">
        <w:rPr>
          <w:lang w:val="pt-BR"/>
        </w:rPr>
        <w:t xml:space="preserve">a </w:t>
      </w:r>
      <w:r w:rsidRPr="002F4565">
        <w:rPr>
          <w:lang w:val="pt-BR"/>
        </w:rPr>
        <w:t>respons</w:t>
      </w:r>
      <w:r w:rsidR="003C09F9" w:rsidRPr="002F4565">
        <w:rPr>
          <w:lang w:val="pt-BR"/>
        </w:rPr>
        <w:t>a</w:t>
      </w:r>
      <w:r w:rsidR="0049090C" w:rsidRPr="002F4565">
        <w:rPr>
          <w:lang w:val="pt-BR"/>
        </w:rPr>
        <w:t>bilidade</w:t>
      </w:r>
      <w:r w:rsidRPr="002F4565">
        <w:rPr>
          <w:lang w:val="pt-BR"/>
        </w:rPr>
        <w:t xml:space="preserve"> </w:t>
      </w:r>
      <w:r w:rsidR="003C09F9" w:rsidRPr="002F4565">
        <w:rPr>
          <w:lang w:val="pt-BR"/>
        </w:rPr>
        <w:t xml:space="preserve">das companhias em relação aos acionistas de aumentar os </w:t>
      </w:r>
      <w:r w:rsidR="00182B8E" w:rsidRPr="002F4565">
        <w:rPr>
          <w:lang w:val="pt-BR"/>
        </w:rPr>
        <w:t>lucros</w:t>
      </w:r>
      <w:r w:rsidRPr="002F4565">
        <w:rPr>
          <w:lang w:val="pt-BR"/>
        </w:rPr>
        <w:t xml:space="preserve"> </w:t>
      </w:r>
      <w:r w:rsidR="00176DB8" w:rsidRPr="002F4565">
        <w:rPr>
          <w:lang w:val="pt-BR"/>
        </w:rPr>
        <w:t>gera suspeita</w:t>
      </w:r>
      <w:r w:rsidR="009B3C1E" w:rsidRPr="002F4565">
        <w:rPr>
          <w:lang w:val="pt-BR"/>
        </w:rPr>
        <w:t>s</w:t>
      </w:r>
      <w:r w:rsidR="00176DB8" w:rsidRPr="002F4565">
        <w:rPr>
          <w:lang w:val="pt-BR"/>
        </w:rPr>
        <w:t xml:space="preserve"> sobre as parcerias </w:t>
      </w:r>
      <w:r w:rsidR="003C09F9" w:rsidRPr="002F4565">
        <w:rPr>
          <w:lang w:val="pt-BR"/>
        </w:rPr>
        <w:t>públic</w:t>
      </w:r>
      <w:r w:rsidR="00176DB8" w:rsidRPr="002F4565">
        <w:rPr>
          <w:lang w:val="pt-BR"/>
        </w:rPr>
        <w:t>o-privadas</w:t>
      </w:r>
      <w:r w:rsidRPr="002F4565">
        <w:rPr>
          <w:lang w:val="pt-BR"/>
        </w:rPr>
        <w:t xml:space="preserve">. </w:t>
      </w:r>
      <w:r w:rsidR="00176DB8" w:rsidRPr="002F4565">
        <w:rPr>
          <w:lang w:val="pt-BR"/>
        </w:rPr>
        <w:t>Além disso</w:t>
      </w:r>
      <w:r w:rsidRPr="002F4565">
        <w:rPr>
          <w:lang w:val="pt-BR"/>
        </w:rPr>
        <w:t xml:space="preserve">, </w:t>
      </w:r>
      <w:r w:rsidR="00261A8A" w:rsidRPr="002F4565">
        <w:rPr>
          <w:lang w:val="pt-BR"/>
        </w:rPr>
        <w:t>o</w:t>
      </w:r>
      <w:r w:rsidRPr="002F4565">
        <w:rPr>
          <w:lang w:val="pt-BR"/>
        </w:rPr>
        <w:t xml:space="preserve"> </w:t>
      </w:r>
      <w:r w:rsidR="00176DB8" w:rsidRPr="002F4565">
        <w:rPr>
          <w:lang w:val="pt-BR"/>
        </w:rPr>
        <w:t xml:space="preserve">estreito relacionamento </w:t>
      </w:r>
      <w:r w:rsidR="00261A8A" w:rsidRPr="002F4565">
        <w:rPr>
          <w:lang w:val="pt-BR"/>
        </w:rPr>
        <w:t>entre</w:t>
      </w:r>
      <w:r w:rsidRPr="002F4565">
        <w:rPr>
          <w:lang w:val="pt-BR"/>
        </w:rPr>
        <w:t xml:space="preserve"> </w:t>
      </w:r>
      <w:r w:rsidR="00765AF7" w:rsidRPr="002F4565">
        <w:rPr>
          <w:lang w:val="pt-BR"/>
        </w:rPr>
        <w:t xml:space="preserve">as fabricantes de alimentos e bebidas </w:t>
      </w:r>
      <w:r w:rsidR="0049090C" w:rsidRPr="002F4565">
        <w:rPr>
          <w:lang w:val="pt-BR"/>
        </w:rPr>
        <w:t>e</w:t>
      </w:r>
      <w:r w:rsidRPr="002F4565">
        <w:rPr>
          <w:lang w:val="pt-BR"/>
        </w:rPr>
        <w:t xml:space="preserve"> </w:t>
      </w:r>
      <w:r w:rsidR="00765AF7" w:rsidRPr="002F4565">
        <w:rPr>
          <w:lang w:val="pt-BR"/>
        </w:rPr>
        <w:t xml:space="preserve">as </w:t>
      </w:r>
      <w:r w:rsidR="009B3C1E" w:rsidRPr="002F4565">
        <w:rPr>
          <w:lang w:val="pt-BR"/>
        </w:rPr>
        <w:t>agências</w:t>
      </w:r>
      <w:r w:rsidR="00765AF7" w:rsidRPr="002F4565">
        <w:rPr>
          <w:lang w:val="pt-BR"/>
        </w:rPr>
        <w:t xml:space="preserve"> </w:t>
      </w:r>
      <w:r w:rsidR="009B3C1E" w:rsidRPr="002F4565">
        <w:rPr>
          <w:lang w:val="pt-BR"/>
        </w:rPr>
        <w:t xml:space="preserve">governamentais </w:t>
      </w:r>
      <w:r w:rsidR="00765AF7" w:rsidRPr="002F4565">
        <w:rPr>
          <w:lang w:val="pt-BR"/>
        </w:rPr>
        <w:t xml:space="preserve">pode levar à falta </w:t>
      </w:r>
      <w:r w:rsidR="0049090C" w:rsidRPr="002F4565">
        <w:rPr>
          <w:lang w:val="pt-BR"/>
        </w:rPr>
        <w:t>de</w:t>
      </w:r>
      <w:r w:rsidRPr="002F4565">
        <w:rPr>
          <w:lang w:val="pt-BR"/>
        </w:rPr>
        <w:t xml:space="preserve"> transpar</w:t>
      </w:r>
      <w:r w:rsidR="003C09F9" w:rsidRPr="002F4565">
        <w:rPr>
          <w:lang w:val="pt-BR"/>
        </w:rPr>
        <w:t>ência</w:t>
      </w:r>
      <w:r w:rsidRPr="002F4565">
        <w:rPr>
          <w:lang w:val="pt-BR"/>
        </w:rPr>
        <w:t xml:space="preserve"> </w:t>
      </w:r>
      <w:r w:rsidR="0049090C" w:rsidRPr="002F4565">
        <w:rPr>
          <w:lang w:val="pt-BR"/>
        </w:rPr>
        <w:t>e</w:t>
      </w:r>
      <w:r w:rsidRPr="002F4565">
        <w:rPr>
          <w:lang w:val="pt-BR"/>
        </w:rPr>
        <w:t xml:space="preserve"> independ</w:t>
      </w:r>
      <w:r w:rsidR="007E67D2" w:rsidRPr="002F4565">
        <w:rPr>
          <w:lang w:val="pt-BR"/>
        </w:rPr>
        <w:t>ência</w:t>
      </w:r>
      <w:r w:rsidRPr="002F4565">
        <w:rPr>
          <w:lang w:val="pt-BR"/>
        </w:rPr>
        <w:t xml:space="preserve"> </w:t>
      </w:r>
      <w:r w:rsidR="0049090C" w:rsidRPr="002F4565">
        <w:rPr>
          <w:lang w:val="pt-BR"/>
        </w:rPr>
        <w:t>d</w:t>
      </w:r>
      <w:r w:rsidR="00765AF7" w:rsidRPr="002F4565">
        <w:rPr>
          <w:lang w:val="pt-BR"/>
        </w:rPr>
        <w:t xml:space="preserve">as autoridades </w:t>
      </w:r>
      <w:r w:rsidR="00C47496" w:rsidRPr="002F4565">
        <w:rPr>
          <w:lang w:val="pt-BR"/>
        </w:rPr>
        <w:t>regulatóri</w:t>
      </w:r>
      <w:r w:rsidR="00765AF7" w:rsidRPr="002F4565">
        <w:rPr>
          <w:lang w:val="pt-BR"/>
        </w:rPr>
        <w:t>a</w:t>
      </w:r>
      <w:r w:rsidR="00C47496" w:rsidRPr="002F4565">
        <w:rPr>
          <w:lang w:val="pt-BR"/>
        </w:rPr>
        <w:t>s</w:t>
      </w:r>
      <w:r w:rsidRPr="002F4565">
        <w:rPr>
          <w:lang w:val="pt-BR"/>
        </w:rPr>
        <w:t xml:space="preserve">, </w:t>
      </w:r>
      <w:r w:rsidR="00765AF7" w:rsidRPr="002F4565">
        <w:rPr>
          <w:lang w:val="pt-BR"/>
        </w:rPr>
        <w:t xml:space="preserve">o que </w:t>
      </w:r>
      <w:r w:rsidR="009B3C1E" w:rsidRPr="002F4565">
        <w:rPr>
          <w:lang w:val="pt-BR"/>
        </w:rPr>
        <w:t xml:space="preserve">enfraquece </w:t>
      </w:r>
      <w:r w:rsidR="00765AF7" w:rsidRPr="002F4565">
        <w:rPr>
          <w:lang w:val="pt-BR"/>
        </w:rPr>
        <w:t>a efetividade das parcerias público-privadas nos esforços dos</w:t>
      </w:r>
      <w:r w:rsidRPr="002F4565">
        <w:rPr>
          <w:lang w:val="pt-BR"/>
        </w:rPr>
        <w:t xml:space="preserve"> </w:t>
      </w:r>
      <w:r w:rsidR="0049090C" w:rsidRPr="002F4565">
        <w:rPr>
          <w:lang w:val="pt-BR"/>
        </w:rPr>
        <w:t>Estados</w:t>
      </w:r>
      <w:r w:rsidR="00765AF7" w:rsidRPr="002F4565">
        <w:rPr>
          <w:lang w:val="pt-BR"/>
        </w:rPr>
        <w:t xml:space="preserve"> </w:t>
      </w:r>
      <w:r w:rsidR="009B3C1E" w:rsidRPr="002F4565">
        <w:rPr>
          <w:lang w:val="pt-BR"/>
        </w:rPr>
        <w:t>de</w:t>
      </w:r>
      <w:r w:rsidR="00765AF7" w:rsidRPr="002F4565">
        <w:rPr>
          <w:lang w:val="pt-BR"/>
        </w:rPr>
        <w:t xml:space="preserve"> reduzir as </w:t>
      </w:r>
      <w:r w:rsidR="0049090C" w:rsidRPr="002F4565">
        <w:rPr>
          <w:lang w:val="pt-BR"/>
        </w:rPr>
        <w:t>DNTs relacionadas com a dieta</w:t>
      </w:r>
      <w:r w:rsidRPr="002F4565">
        <w:rPr>
          <w:lang w:val="pt-BR"/>
        </w:rPr>
        <w:t>.</w:t>
      </w:r>
      <w:r w:rsidR="009B3C1E"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25. </w:t>
      </w:r>
      <w:r w:rsidR="00765AF7" w:rsidRPr="002F4565">
        <w:rPr>
          <w:lang w:val="pt-BR"/>
        </w:rPr>
        <w:t xml:space="preserve">Devido aos problemas </w:t>
      </w:r>
      <w:r w:rsidRPr="002F4565">
        <w:rPr>
          <w:lang w:val="pt-BR"/>
        </w:rPr>
        <w:t>inerent</w:t>
      </w:r>
      <w:r w:rsidR="00765AF7" w:rsidRPr="002F4565">
        <w:rPr>
          <w:lang w:val="pt-BR"/>
        </w:rPr>
        <w:t>es</w:t>
      </w:r>
      <w:r w:rsidR="009B3C1E" w:rsidRPr="002F4565">
        <w:rPr>
          <w:lang w:val="pt-BR"/>
        </w:rPr>
        <w:t>,</w:t>
      </w:r>
      <w:r w:rsidRPr="002F4565">
        <w:rPr>
          <w:lang w:val="pt-BR"/>
        </w:rPr>
        <w:t xml:space="preserve"> associa</w:t>
      </w:r>
      <w:r w:rsidR="00765AF7" w:rsidRPr="002F4565">
        <w:rPr>
          <w:lang w:val="pt-BR"/>
        </w:rPr>
        <w:t xml:space="preserve">dos com a </w:t>
      </w:r>
      <w:proofErr w:type="gramStart"/>
      <w:r w:rsidR="003C09F9" w:rsidRPr="002F4565">
        <w:rPr>
          <w:lang w:val="pt-BR"/>
        </w:rPr>
        <w:t>auto-</w:t>
      </w:r>
      <w:r w:rsidR="00F21F55" w:rsidRPr="002F4565">
        <w:rPr>
          <w:lang w:val="pt-BR"/>
        </w:rPr>
        <w:t>regulamentação</w:t>
      </w:r>
      <w:proofErr w:type="gramEnd"/>
      <w:r w:rsidRPr="002F4565">
        <w:rPr>
          <w:lang w:val="pt-BR"/>
        </w:rPr>
        <w:t xml:space="preserve"> </w:t>
      </w:r>
      <w:r w:rsidR="0049090C" w:rsidRPr="002F4565">
        <w:rPr>
          <w:lang w:val="pt-BR"/>
        </w:rPr>
        <w:t>e</w:t>
      </w:r>
      <w:r w:rsidRPr="002F4565">
        <w:rPr>
          <w:lang w:val="pt-BR"/>
        </w:rPr>
        <w:t xml:space="preserve"> </w:t>
      </w:r>
      <w:r w:rsidR="00765AF7" w:rsidRPr="002F4565">
        <w:rPr>
          <w:lang w:val="pt-BR"/>
        </w:rPr>
        <w:t>parcerias público-privadas</w:t>
      </w:r>
      <w:r w:rsidRPr="002F4565">
        <w:rPr>
          <w:lang w:val="pt-BR"/>
        </w:rPr>
        <w:t xml:space="preserve">, </w:t>
      </w:r>
      <w:r w:rsidR="00765AF7" w:rsidRPr="002F4565">
        <w:rPr>
          <w:lang w:val="pt-BR"/>
        </w:rPr>
        <w:t xml:space="preserve">há </w:t>
      </w:r>
      <w:r w:rsidR="0049090C" w:rsidRPr="002F4565">
        <w:rPr>
          <w:lang w:val="pt-BR"/>
        </w:rPr>
        <w:t>necessidade</w:t>
      </w:r>
      <w:r w:rsidRPr="002F4565">
        <w:rPr>
          <w:lang w:val="pt-BR"/>
        </w:rPr>
        <w:t xml:space="preserve"> </w:t>
      </w:r>
      <w:r w:rsidR="00765AF7" w:rsidRPr="002F4565">
        <w:rPr>
          <w:lang w:val="pt-BR"/>
        </w:rPr>
        <w:t xml:space="preserve">de os </w:t>
      </w:r>
      <w:r w:rsidR="0049090C" w:rsidRPr="002F4565">
        <w:rPr>
          <w:lang w:val="pt-BR"/>
        </w:rPr>
        <w:t>Estados</w:t>
      </w:r>
      <w:r w:rsidRPr="002F4565">
        <w:rPr>
          <w:lang w:val="pt-BR"/>
        </w:rPr>
        <w:t xml:space="preserve"> </w:t>
      </w:r>
      <w:r w:rsidR="00072E1E" w:rsidRPr="002F4565">
        <w:rPr>
          <w:lang w:val="pt-BR"/>
        </w:rPr>
        <w:t>adotar</w:t>
      </w:r>
      <w:r w:rsidR="00765AF7" w:rsidRPr="002F4565">
        <w:rPr>
          <w:lang w:val="pt-BR"/>
        </w:rPr>
        <w:t>em</w:t>
      </w:r>
      <w:r w:rsidRPr="002F4565">
        <w:rPr>
          <w:lang w:val="pt-BR"/>
        </w:rPr>
        <w:t xml:space="preserve"> </w:t>
      </w:r>
      <w:r w:rsidR="00624BDC" w:rsidRPr="002F4565">
        <w:rPr>
          <w:lang w:val="pt-BR"/>
        </w:rPr>
        <w:t>leis</w:t>
      </w:r>
      <w:r w:rsidRPr="002F4565">
        <w:rPr>
          <w:lang w:val="pt-BR"/>
        </w:rPr>
        <w:t xml:space="preserve"> </w:t>
      </w:r>
      <w:r w:rsidR="006A31E1" w:rsidRPr="002F4565">
        <w:rPr>
          <w:lang w:val="pt-BR"/>
        </w:rPr>
        <w:t>que</w:t>
      </w:r>
      <w:r w:rsidRPr="002F4565">
        <w:rPr>
          <w:lang w:val="pt-BR"/>
        </w:rPr>
        <w:t xml:space="preserve"> </w:t>
      </w:r>
      <w:r w:rsidR="00765AF7" w:rsidRPr="002F4565">
        <w:rPr>
          <w:lang w:val="pt-BR"/>
        </w:rPr>
        <w:t xml:space="preserve">impeçam as </w:t>
      </w:r>
      <w:r w:rsidR="00FB4DE4" w:rsidRPr="002F4565">
        <w:rPr>
          <w:lang w:val="pt-BR"/>
        </w:rPr>
        <w:t>companhias</w:t>
      </w:r>
      <w:r w:rsidRPr="002F4565">
        <w:rPr>
          <w:lang w:val="pt-BR"/>
        </w:rPr>
        <w:t xml:space="preserve"> </w:t>
      </w:r>
      <w:r w:rsidR="00765AF7" w:rsidRPr="002F4565">
        <w:rPr>
          <w:lang w:val="pt-BR"/>
        </w:rPr>
        <w:t xml:space="preserve">de usar </w:t>
      </w:r>
      <w:r w:rsidR="003C09F9" w:rsidRPr="002F4565">
        <w:rPr>
          <w:lang w:val="pt-BR"/>
        </w:rPr>
        <w:t>estratégias</w:t>
      </w:r>
      <w:r w:rsidR="00765AF7" w:rsidRPr="002F4565">
        <w:rPr>
          <w:lang w:val="pt-BR"/>
        </w:rPr>
        <w:t xml:space="preserve"> de </w:t>
      </w:r>
      <w:r w:rsidR="00BC3868" w:rsidRPr="002F4565">
        <w:rPr>
          <w:lang w:val="pt-BR"/>
        </w:rPr>
        <w:t>publicidade</w:t>
      </w:r>
      <w:r w:rsidR="00765AF7" w:rsidRPr="002F4565">
        <w:rPr>
          <w:lang w:val="pt-BR"/>
        </w:rPr>
        <w:t xml:space="preserve"> insidiosas</w:t>
      </w:r>
      <w:r w:rsidRPr="002F4565">
        <w:rPr>
          <w:lang w:val="pt-BR"/>
        </w:rPr>
        <w:t xml:space="preserve">. </w:t>
      </w:r>
      <w:r w:rsidR="00765AF7" w:rsidRPr="002F4565">
        <w:rPr>
          <w:lang w:val="pt-BR"/>
        </w:rPr>
        <w:t>A responsa</w:t>
      </w:r>
      <w:r w:rsidR="0049090C" w:rsidRPr="002F4565">
        <w:rPr>
          <w:lang w:val="pt-BR"/>
        </w:rPr>
        <w:t>bilidade</w:t>
      </w:r>
      <w:r w:rsidRPr="002F4565">
        <w:rPr>
          <w:lang w:val="pt-BR"/>
        </w:rPr>
        <w:t xml:space="preserve"> </w:t>
      </w:r>
      <w:r w:rsidR="00765AF7" w:rsidRPr="002F4565">
        <w:rPr>
          <w:lang w:val="pt-BR"/>
        </w:rPr>
        <w:t>de</w:t>
      </w:r>
      <w:r w:rsidRPr="002F4565">
        <w:rPr>
          <w:lang w:val="pt-BR"/>
        </w:rPr>
        <w:t xml:space="preserve"> </w:t>
      </w:r>
      <w:r w:rsidR="00624BDC" w:rsidRPr="002F4565">
        <w:rPr>
          <w:lang w:val="pt-BR"/>
        </w:rPr>
        <w:t>proteger</w:t>
      </w:r>
      <w:r w:rsidRPr="002F4565">
        <w:rPr>
          <w:lang w:val="pt-BR"/>
        </w:rPr>
        <w:t xml:space="preserve"> </w:t>
      </w:r>
      <w:r w:rsidR="00261A8A" w:rsidRPr="002F4565">
        <w:rPr>
          <w:lang w:val="pt-BR"/>
        </w:rPr>
        <w:t>o</w:t>
      </w:r>
      <w:r w:rsidRPr="002F4565">
        <w:rPr>
          <w:lang w:val="pt-BR"/>
        </w:rPr>
        <w:t xml:space="preserve"> </w:t>
      </w:r>
      <w:r w:rsidR="00765AF7" w:rsidRPr="002F4565">
        <w:rPr>
          <w:lang w:val="pt-BR"/>
        </w:rPr>
        <w:t xml:space="preserve">exercício do </w:t>
      </w:r>
      <w:r w:rsidR="00F21F55" w:rsidRPr="002F4565">
        <w:rPr>
          <w:lang w:val="pt-BR"/>
        </w:rPr>
        <w:t>direito à saúde</w:t>
      </w:r>
      <w:r w:rsidRPr="002F4565">
        <w:rPr>
          <w:lang w:val="pt-BR"/>
        </w:rPr>
        <w:t xml:space="preserve"> </w:t>
      </w:r>
      <w:r w:rsidR="00765AF7" w:rsidRPr="002F4565">
        <w:rPr>
          <w:lang w:val="pt-BR"/>
        </w:rPr>
        <w:t xml:space="preserve">garante ao </w:t>
      </w:r>
      <w:r w:rsidR="006A31E1" w:rsidRPr="002F4565">
        <w:rPr>
          <w:lang w:val="pt-BR"/>
        </w:rPr>
        <w:t>Estado</w:t>
      </w:r>
      <w:r w:rsidRPr="002F4565">
        <w:rPr>
          <w:lang w:val="pt-BR"/>
        </w:rPr>
        <w:t xml:space="preserve"> </w:t>
      </w:r>
      <w:r w:rsidR="00765AF7" w:rsidRPr="002F4565">
        <w:rPr>
          <w:lang w:val="pt-BR"/>
        </w:rPr>
        <w:t xml:space="preserve">a </w:t>
      </w:r>
      <w:r w:rsidRPr="002F4565">
        <w:rPr>
          <w:lang w:val="pt-BR"/>
        </w:rPr>
        <w:t>inter</w:t>
      </w:r>
      <w:r w:rsidR="00765AF7" w:rsidRPr="002F4565">
        <w:rPr>
          <w:lang w:val="pt-BR"/>
        </w:rPr>
        <w:t>venção</w:t>
      </w:r>
      <w:r w:rsidRPr="002F4565">
        <w:rPr>
          <w:lang w:val="pt-BR"/>
        </w:rPr>
        <w:t xml:space="preserve"> </w:t>
      </w:r>
      <w:r w:rsidR="00FB4DE4" w:rsidRPr="002F4565">
        <w:rPr>
          <w:lang w:val="pt-BR"/>
        </w:rPr>
        <w:t>em</w:t>
      </w:r>
      <w:r w:rsidRPr="002F4565">
        <w:rPr>
          <w:lang w:val="pt-BR"/>
        </w:rPr>
        <w:t xml:space="preserve"> situ</w:t>
      </w:r>
      <w:r w:rsidR="00F21F55" w:rsidRPr="002F4565">
        <w:rPr>
          <w:lang w:val="pt-BR"/>
        </w:rPr>
        <w:t>ações</w:t>
      </w:r>
      <w:r w:rsidRPr="002F4565">
        <w:rPr>
          <w:lang w:val="pt-BR"/>
        </w:rPr>
        <w:t xml:space="preserve"> </w:t>
      </w:r>
      <w:r w:rsidR="00765AF7" w:rsidRPr="002F4565">
        <w:rPr>
          <w:lang w:val="pt-BR"/>
        </w:rPr>
        <w:t xml:space="preserve">em que </w:t>
      </w:r>
      <w:proofErr w:type="gramStart"/>
      <w:r w:rsidR="00765AF7" w:rsidRPr="002F4565">
        <w:rPr>
          <w:lang w:val="pt-BR"/>
        </w:rPr>
        <w:t>terceiros</w:t>
      </w:r>
      <w:r w:rsidR="009B3C1E" w:rsidRPr="002F4565">
        <w:rPr>
          <w:lang w:val="pt-BR"/>
        </w:rPr>
        <w:t>,</w:t>
      </w:r>
      <w:r w:rsidRPr="002F4565">
        <w:rPr>
          <w:lang w:val="pt-BR"/>
        </w:rPr>
        <w:t xml:space="preserve"> </w:t>
      </w:r>
      <w:r w:rsidR="00765AF7" w:rsidRPr="002F4565">
        <w:rPr>
          <w:lang w:val="pt-BR"/>
        </w:rPr>
        <w:t xml:space="preserve">como </w:t>
      </w:r>
      <w:r w:rsidR="003C09F9" w:rsidRPr="002F4565">
        <w:rPr>
          <w:lang w:val="pt-BR"/>
        </w:rPr>
        <w:t>fabricantes</w:t>
      </w:r>
      <w:proofErr w:type="gramEnd"/>
      <w:r w:rsidR="003C09F9" w:rsidRPr="002F4565">
        <w:rPr>
          <w:lang w:val="pt-BR"/>
        </w:rPr>
        <w:t xml:space="preserve"> de alimentos</w:t>
      </w:r>
      <w:r w:rsidRPr="002F4565">
        <w:rPr>
          <w:lang w:val="pt-BR"/>
        </w:rPr>
        <w:t xml:space="preserve"> u</w:t>
      </w:r>
      <w:r w:rsidR="00765AF7" w:rsidRPr="002F4565">
        <w:rPr>
          <w:lang w:val="pt-BR"/>
        </w:rPr>
        <w:t>sem sua posição</w:t>
      </w:r>
      <w:r w:rsidRPr="002F4565">
        <w:rPr>
          <w:lang w:val="pt-BR"/>
        </w:rPr>
        <w:t xml:space="preserve"> </w:t>
      </w:r>
      <w:r w:rsidR="00765AF7" w:rsidRPr="002F4565">
        <w:rPr>
          <w:lang w:val="pt-BR"/>
        </w:rPr>
        <w:t xml:space="preserve">para </w:t>
      </w:r>
      <w:r w:rsidRPr="002F4565">
        <w:rPr>
          <w:lang w:val="pt-BR"/>
        </w:rPr>
        <w:t>influ</w:t>
      </w:r>
      <w:r w:rsidR="00765AF7" w:rsidRPr="002F4565">
        <w:rPr>
          <w:lang w:val="pt-BR"/>
        </w:rPr>
        <w:t>e</w:t>
      </w:r>
      <w:r w:rsidR="007E67D2" w:rsidRPr="002F4565">
        <w:rPr>
          <w:lang w:val="pt-BR"/>
        </w:rPr>
        <w:t>ncia</w:t>
      </w:r>
      <w:r w:rsidR="00765AF7" w:rsidRPr="002F4565">
        <w:rPr>
          <w:lang w:val="pt-BR"/>
        </w:rPr>
        <w:t xml:space="preserve">r os hábitos alimentares ao incentivar direta ou indiretamente </w:t>
      </w:r>
      <w:r w:rsidR="00FB4401" w:rsidRPr="002F4565">
        <w:rPr>
          <w:lang w:val="pt-BR"/>
        </w:rPr>
        <w:t>dietas não saudáveis</w:t>
      </w:r>
      <w:r w:rsidRPr="002F4565">
        <w:rPr>
          <w:lang w:val="pt-BR"/>
        </w:rPr>
        <w:t xml:space="preserve"> </w:t>
      </w:r>
      <w:r w:rsidR="00765AF7" w:rsidRPr="002F4565">
        <w:rPr>
          <w:lang w:val="pt-BR"/>
        </w:rPr>
        <w:t xml:space="preserve">que prejudicam a </w:t>
      </w:r>
      <w:r w:rsidR="0049090C" w:rsidRPr="002F4565">
        <w:rPr>
          <w:lang w:val="pt-BR"/>
        </w:rPr>
        <w:t>saúde</w:t>
      </w:r>
      <w:r w:rsidR="00765AF7" w:rsidRPr="002F4565">
        <w:rPr>
          <w:lang w:val="pt-BR"/>
        </w:rPr>
        <w:t xml:space="preserve"> das pessoas</w:t>
      </w:r>
      <w:r w:rsidRPr="002F4565">
        <w:rPr>
          <w:lang w:val="pt-BR"/>
        </w:rPr>
        <w:t xml:space="preserve">. </w:t>
      </w:r>
      <w:r w:rsidR="00FB4401" w:rsidRPr="002F4565">
        <w:rPr>
          <w:lang w:val="pt-BR"/>
        </w:rPr>
        <w:t>Portanto</w:t>
      </w:r>
      <w:r w:rsidRPr="002F4565">
        <w:rPr>
          <w:lang w:val="pt-BR"/>
        </w:rPr>
        <w:t xml:space="preserve">, </w:t>
      </w:r>
      <w:r w:rsidR="00765AF7" w:rsidRPr="002F4565">
        <w:rPr>
          <w:lang w:val="pt-BR"/>
        </w:rPr>
        <w:t xml:space="preserve">os </w:t>
      </w:r>
      <w:r w:rsidR="0049090C" w:rsidRPr="002F4565">
        <w:rPr>
          <w:lang w:val="pt-BR"/>
        </w:rPr>
        <w:t>Estados</w:t>
      </w:r>
      <w:r w:rsidRPr="002F4565">
        <w:rPr>
          <w:lang w:val="pt-BR"/>
        </w:rPr>
        <w:t xml:space="preserve"> </w:t>
      </w:r>
      <w:r w:rsidR="00765AF7" w:rsidRPr="002F4565">
        <w:rPr>
          <w:lang w:val="pt-BR"/>
        </w:rPr>
        <w:t xml:space="preserve">têm </w:t>
      </w:r>
      <w:r w:rsidR="009B3C1E" w:rsidRPr="002F4565">
        <w:rPr>
          <w:lang w:val="pt-BR"/>
        </w:rPr>
        <w:t>o</w:t>
      </w:r>
      <w:r w:rsidR="00765AF7" w:rsidRPr="002F4565">
        <w:rPr>
          <w:lang w:val="pt-BR"/>
        </w:rPr>
        <w:t xml:space="preserve"> dever </w:t>
      </w:r>
      <w:r w:rsidR="00C47496" w:rsidRPr="002F4565">
        <w:rPr>
          <w:lang w:val="pt-BR"/>
        </w:rPr>
        <w:t>positiv</w:t>
      </w:r>
      <w:r w:rsidR="00765AF7" w:rsidRPr="002F4565">
        <w:rPr>
          <w:lang w:val="pt-BR"/>
        </w:rPr>
        <w:t xml:space="preserve">o de </w:t>
      </w:r>
      <w:r w:rsidRPr="002F4565">
        <w:rPr>
          <w:lang w:val="pt-BR"/>
        </w:rPr>
        <w:t>regula</w:t>
      </w:r>
      <w:r w:rsidR="00765AF7" w:rsidRPr="002F4565">
        <w:rPr>
          <w:lang w:val="pt-BR"/>
        </w:rPr>
        <w:t>r</w:t>
      </w:r>
      <w:r w:rsidRPr="002F4565">
        <w:rPr>
          <w:lang w:val="pt-BR"/>
        </w:rPr>
        <w:t xml:space="preserve"> </w:t>
      </w:r>
      <w:r w:rsidR="00765AF7" w:rsidRPr="002F4565">
        <w:rPr>
          <w:lang w:val="pt-BR"/>
        </w:rPr>
        <w:t xml:space="preserve">a </w:t>
      </w:r>
      <w:r w:rsidR="007D3BE3" w:rsidRPr="002F4565">
        <w:rPr>
          <w:lang w:val="pt-BR"/>
        </w:rPr>
        <w:t>propaganda</w:t>
      </w:r>
      <w:r w:rsidRPr="002F4565">
        <w:rPr>
          <w:lang w:val="pt-BR"/>
        </w:rPr>
        <w:t xml:space="preserve"> </w:t>
      </w:r>
      <w:r w:rsidR="00765AF7" w:rsidRPr="002F4565">
        <w:rPr>
          <w:lang w:val="pt-BR"/>
        </w:rPr>
        <w:t xml:space="preserve">de alimentos não saudáveis </w:t>
      </w:r>
      <w:r w:rsidR="0049090C" w:rsidRPr="002F4565">
        <w:rPr>
          <w:lang w:val="pt-BR"/>
        </w:rPr>
        <w:t>e</w:t>
      </w:r>
      <w:r w:rsidRPr="002F4565">
        <w:rPr>
          <w:lang w:val="pt-BR"/>
        </w:rPr>
        <w:t xml:space="preserve"> </w:t>
      </w:r>
      <w:r w:rsidR="00765AF7" w:rsidRPr="002F4565">
        <w:rPr>
          <w:lang w:val="pt-BR"/>
        </w:rPr>
        <w:t>as</w:t>
      </w:r>
      <w:r w:rsidRPr="002F4565">
        <w:rPr>
          <w:lang w:val="pt-BR"/>
        </w:rPr>
        <w:t xml:space="preserve"> </w:t>
      </w:r>
      <w:r w:rsidR="003C09F9" w:rsidRPr="002F4565">
        <w:rPr>
          <w:lang w:val="pt-BR"/>
        </w:rPr>
        <w:t>estratégias</w:t>
      </w:r>
      <w:r w:rsidRPr="002F4565">
        <w:rPr>
          <w:lang w:val="pt-BR"/>
        </w:rPr>
        <w:t xml:space="preserve"> </w:t>
      </w:r>
      <w:r w:rsidR="00765AF7" w:rsidRPr="002F4565">
        <w:rPr>
          <w:lang w:val="pt-BR"/>
        </w:rPr>
        <w:t xml:space="preserve">de promoção </w:t>
      </w:r>
      <w:r w:rsidR="0049090C" w:rsidRPr="002F4565">
        <w:rPr>
          <w:lang w:val="pt-BR"/>
        </w:rPr>
        <w:t>d</w:t>
      </w:r>
      <w:r w:rsidR="009B3C1E" w:rsidRPr="002F4565">
        <w:rPr>
          <w:lang w:val="pt-BR"/>
        </w:rPr>
        <w:t>e</w:t>
      </w:r>
      <w:r w:rsidRPr="002F4565">
        <w:rPr>
          <w:lang w:val="pt-BR"/>
        </w:rPr>
        <w:t xml:space="preserve"> </w:t>
      </w:r>
      <w:r w:rsidR="003C09F9" w:rsidRPr="002F4565">
        <w:rPr>
          <w:lang w:val="pt-BR"/>
        </w:rPr>
        <w:t>fabricantes de alimentos</w:t>
      </w:r>
      <w:r w:rsidRPr="002F4565">
        <w:rPr>
          <w:lang w:val="pt-BR"/>
        </w:rPr>
        <w:t xml:space="preserve">. </w:t>
      </w:r>
      <w:r w:rsidR="00765AF7" w:rsidRPr="002F4565">
        <w:rPr>
          <w:lang w:val="pt-BR"/>
        </w:rPr>
        <w:t xml:space="preserve">Segundo o </w:t>
      </w:r>
      <w:r w:rsidR="00F21F55" w:rsidRPr="002F4565">
        <w:rPr>
          <w:lang w:val="pt-BR"/>
        </w:rPr>
        <w:t>direito à saúde</w:t>
      </w:r>
      <w:r w:rsidRPr="002F4565">
        <w:rPr>
          <w:lang w:val="pt-BR"/>
        </w:rPr>
        <w:t xml:space="preserve">, </w:t>
      </w:r>
      <w:r w:rsidR="00765AF7" w:rsidRPr="002F4565">
        <w:rPr>
          <w:lang w:val="pt-BR"/>
        </w:rPr>
        <w:t xml:space="preserve">os </w:t>
      </w:r>
      <w:r w:rsidR="0049090C" w:rsidRPr="002F4565">
        <w:rPr>
          <w:lang w:val="pt-BR"/>
        </w:rPr>
        <w:t>Estados</w:t>
      </w:r>
      <w:r w:rsidRPr="002F4565">
        <w:rPr>
          <w:lang w:val="pt-BR"/>
        </w:rPr>
        <w:t xml:space="preserve"> </w:t>
      </w:r>
      <w:r w:rsidR="0040430A" w:rsidRPr="002F4565">
        <w:rPr>
          <w:lang w:val="pt-BR"/>
        </w:rPr>
        <w:t>são</w:t>
      </w:r>
      <w:r w:rsidRPr="002F4565">
        <w:rPr>
          <w:lang w:val="pt-BR"/>
        </w:rPr>
        <w:t xml:space="preserve"> </w:t>
      </w:r>
      <w:r w:rsidR="00765AF7" w:rsidRPr="002F4565">
        <w:rPr>
          <w:lang w:val="pt-BR"/>
        </w:rPr>
        <w:t xml:space="preserve">especialmente obrigados a </w:t>
      </w:r>
      <w:r w:rsidR="00624BDC" w:rsidRPr="002F4565">
        <w:rPr>
          <w:lang w:val="pt-BR"/>
        </w:rPr>
        <w:t>proteger</w:t>
      </w:r>
      <w:r w:rsidRPr="002F4565">
        <w:rPr>
          <w:lang w:val="pt-BR"/>
        </w:rPr>
        <w:t xml:space="preserve"> </w:t>
      </w:r>
      <w:r w:rsidR="00802E44" w:rsidRPr="002F4565">
        <w:rPr>
          <w:lang w:val="pt-BR"/>
        </w:rPr>
        <w:t xml:space="preserve">grupos vulneráveis </w:t>
      </w:r>
      <w:r w:rsidR="00765AF7" w:rsidRPr="002F4565">
        <w:rPr>
          <w:lang w:val="pt-BR"/>
        </w:rPr>
        <w:t xml:space="preserve">como as </w:t>
      </w:r>
      <w:r w:rsidR="00802E44" w:rsidRPr="002F4565">
        <w:rPr>
          <w:lang w:val="pt-BR"/>
        </w:rPr>
        <w:t>crianças</w:t>
      </w:r>
      <w:r w:rsidRPr="002F4565">
        <w:rPr>
          <w:lang w:val="pt-BR"/>
        </w:rPr>
        <w:t xml:space="preserve"> </w:t>
      </w:r>
      <w:r w:rsidR="00765AF7" w:rsidRPr="002F4565">
        <w:rPr>
          <w:lang w:val="pt-BR"/>
        </w:rPr>
        <w:t xml:space="preserve">contra </w:t>
      </w:r>
      <w:r w:rsidRPr="002F4565">
        <w:rPr>
          <w:lang w:val="pt-BR"/>
        </w:rPr>
        <w:t>viol</w:t>
      </w:r>
      <w:r w:rsidR="00F21F55" w:rsidRPr="002F4565">
        <w:rPr>
          <w:lang w:val="pt-BR"/>
        </w:rPr>
        <w:t>ações</w:t>
      </w:r>
      <w:r w:rsidRPr="002F4565">
        <w:rPr>
          <w:lang w:val="pt-BR"/>
        </w:rPr>
        <w:t xml:space="preserve"> </w:t>
      </w:r>
      <w:r w:rsidR="0049090C" w:rsidRPr="002F4565">
        <w:rPr>
          <w:lang w:val="pt-BR"/>
        </w:rPr>
        <w:t>de</w:t>
      </w:r>
      <w:r w:rsidRPr="002F4565">
        <w:rPr>
          <w:lang w:val="pt-BR"/>
        </w:rPr>
        <w:t xml:space="preserve"> </w:t>
      </w:r>
      <w:r w:rsidR="00765AF7" w:rsidRPr="002F4565">
        <w:rPr>
          <w:lang w:val="pt-BR"/>
        </w:rPr>
        <w:t>seu</w:t>
      </w:r>
      <w:r w:rsidRPr="002F4565">
        <w:rPr>
          <w:lang w:val="pt-BR"/>
        </w:rPr>
        <w:t xml:space="preserve"> </w:t>
      </w:r>
      <w:r w:rsidR="00F21F55" w:rsidRPr="002F4565">
        <w:rPr>
          <w:lang w:val="pt-BR"/>
        </w:rPr>
        <w:t>direito à saúde</w:t>
      </w:r>
      <w:r w:rsidRPr="002F4565">
        <w:rPr>
          <w:lang w:val="pt-BR"/>
        </w:rPr>
        <w:t xml:space="preserve">. </w:t>
      </w:r>
      <w:r w:rsidR="00765AF7" w:rsidRPr="002F4565">
        <w:rPr>
          <w:lang w:val="pt-BR"/>
        </w:rPr>
        <w:t>Para reduzir as oportunidades</w:t>
      </w:r>
      <w:r w:rsidRPr="002F4565">
        <w:rPr>
          <w:lang w:val="pt-BR"/>
        </w:rPr>
        <w:t xml:space="preserve"> </w:t>
      </w:r>
      <w:r w:rsidR="00765AF7" w:rsidRPr="002F4565">
        <w:rPr>
          <w:lang w:val="pt-BR"/>
        </w:rPr>
        <w:t xml:space="preserve">de </w:t>
      </w:r>
      <w:r w:rsidR="00624BDC" w:rsidRPr="002F4565">
        <w:rPr>
          <w:lang w:val="pt-BR"/>
        </w:rPr>
        <w:t>propaganda</w:t>
      </w:r>
      <w:r w:rsidR="00765AF7" w:rsidRPr="002F4565">
        <w:rPr>
          <w:lang w:val="pt-BR"/>
        </w:rPr>
        <w:t xml:space="preserve"> dirigida</w:t>
      </w:r>
      <w:r w:rsidRPr="002F4565">
        <w:rPr>
          <w:lang w:val="pt-BR"/>
        </w:rPr>
        <w:t xml:space="preserve">, </w:t>
      </w:r>
      <w:r w:rsidR="00072E1E" w:rsidRPr="002F4565">
        <w:rPr>
          <w:lang w:val="pt-BR"/>
        </w:rPr>
        <w:t>alguns Estados</w:t>
      </w:r>
      <w:r w:rsidRPr="002F4565">
        <w:rPr>
          <w:lang w:val="pt-BR"/>
        </w:rPr>
        <w:t xml:space="preserve"> </w:t>
      </w:r>
      <w:r w:rsidR="00765AF7" w:rsidRPr="002F4565">
        <w:rPr>
          <w:lang w:val="pt-BR"/>
        </w:rPr>
        <w:t xml:space="preserve">instituíram </w:t>
      </w:r>
      <w:r w:rsidR="00624BDC" w:rsidRPr="002F4565">
        <w:rPr>
          <w:lang w:val="pt-BR"/>
        </w:rPr>
        <w:t>leis</w:t>
      </w:r>
      <w:r w:rsidRPr="002F4565">
        <w:rPr>
          <w:lang w:val="pt-BR"/>
        </w:rPr>
        <w:t xml:space="preserve"> </w:t>
      </w:r>
      <w:r w:rsidR="00765AF7" w:rsidRPr="002F4565">
        <w:rPr>
          <w:lang w:val="pt-BR"/>
        </w:rPr>
        <w:t xml:space="preserve">para proibir que as </w:t>
      </w:r>
      <w:r w:rsidR="00FB4DE4" w:rsidRPr="002F4565">
        <w:rPr>
          <w:lang w:val="pt-BR"/>
        </w:rPr>
        <w:t>companhias</w:t>
      </w:r>
      <w:r w:rsidRPr="002F4565">
        <w:rPr>
          <w:lang w:val="pt-BR"/>
        </w:rPr>
        <w:t xml:space="preserve"> </w:t>
      </w:r>
      <w:r w:rsidR="00765AF7" w:rsidRPr="002F4565">
        <w:rPr>
          <w:lang w:val="pt-BR"/>
        </w:rPr>
        <w:t xml:space="preserve">anunciem seus </w:t>
      </w:r>
      <w:r w:rsidR="00B5729E" w:rsidRPr="002F4565">
        <w:rPr>
          <w:lang w:val="pt-BR"/>
        </w:rPr>
        <w:t>produto</w:t>
      </w:r>
      <w:r w:rsidRPr="002F4565">
        <w:rPr>
          <w:lang w:val="pt-BR"/>
        </w:rPr>
        <w:t xml:space="preserve">s </w:t>
      </w:r>
      <w:r w:rsidR="00765AF7" w:rsidRPr="002F4565">
        <w:rPr>
          <w:lang w:val="pt-BR"/>
        </w:rPr>
        <w:t xml:space="preserve">para </w:t>
      </w:r>
      <w:r w:rsidR="00802E44" w:rsidRPr="002F4565">
        <w:rPr>
          <w:lang w:val="pt-BR"/>
        </w:rPr>
        <w:t>crianças</w:t>
      </w:r>
      <w:r w:rsidRPr="002F4565">
        <w:rPr>
          <w:lang w:val="pt-BR"/>
        </w:rPr>
        <w:t xml:space="preserve"> </w:t>
      </w:r>
      <w:r w:rsidR="00765AF7" w:rsidRPr="002F4565">
        <w:rPr>
          <w:lang w:val="pt-BR"/>
        </w:rPr>
        <w:t xml:space="preserve">abaixo de determinada idade </w:t>
      </w:r>
      <w:r w:rsidR="0049090C" w:rsidRPr="002F4565">
        <w:rPr>
          <w:lang w:val="pt-BR"/>
        </w:rPr>
        <w:t>e</w:t>
      </w:r>
      <w:r w:rsidRPr="002F4565">
        <w:rPr>
          <w:lang w:val="pt-BR"/>
        </w:rPr>
        <w:t xml:space="preserve"> limit</w:t>
      </w:r>
      <w:r w:rsidR="00765AF7" w:rsidRPr="002F4565">
        <w:rPr>
          <w:lang w:val="pt-BR"/>
        </w:rPr>
        <w:t>em</w:t>
      </w:r>
      <w:r w:rsidRPr="002F4565">
        <w:rPr>
          <w:lang w:val="pt-BR"/>
        </w:rPr>
        <w:t xml:space="preserve"> </w:t>
      </w:r>
      <w:r w:rsidR="00765AF7" w:rsidRPr="002F4565">
        <w:rPr>
          <w:lang w:val="pt-BR"/>
        </w:rPr>
        <w:t>a</w:t>
      </w:r>
      <w:r w:rsidRPr="002F4565">
        <w:rPr>
          <w:lang w:val="pt-BR"/>
        </w:rPr>
        <w:t xml:space="preserve"> </w:t>
      </w:r>
      <w:r w:rsidR="0049090C" w:rsidRPr="002F4565">
        <w:rPr>
          <w:lang w:val="pt-BR"/>
        </w:rPr>
        <w:t>disponibilidade</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765AF7" w:rsidRPr="002F4565">
        <w:rPr>
          <w:lang w:val="pt-BR"/>
        </w:rPr>
        <w:t>nas</w:t>
      </w:r>
      <w:r w:rsidRPr="002F4565">
        <w:rPr>
          <w:lang w:val="pt-BR"/>
        </w:rPr>
        <w:t xml:space="preserve"> </w:t>
      </w:r>
      <w:proofErr w:type="gramStart"/>
      <w:r w:rsidR="00072E1E" w:rsidRPr="002F4565">
        <w:rPr>
          <w:lang w:val="pt-BR"/>
        </w:rPr>
        <w:t>escola</w:t>
      </w:r>
      <w:r w:rsidRPr="002F4565">
        <w:rPr>
          <w:lang w:val="pt-BR"/>
        </w:rPr>
        <w:t>s.</w:t>
      </w:r>
      <w:proofErr w:type="gramEnd"/>
      <w:r w:rsidRPr="002F4565">
        <w:rPr>
          <w:vertAlign w:val="superscript"/>
          <w:lang w:val="pt-BR"/>
        </w:rPr>
        <w:t>40</w:t>
      </w:r>
    </w:p>
    <w:p w:rsidR="00115B91" w:rsidRPr="002F4565" w:rsidRDefault="00115B91" w:rsidP="0051636A">
      <w:pPr>
        <w:spacing w:before="120" w:after="0" w:line="240" w:lineRule="auto"/>
        <w:rPr>
          <w:lang w:val="pt-BR"/>
        </w:rPr>
      </w:pPr>
      <w:r w:rsidRPr="002F4565">
        <w:rPr>
          <w:lang w:val="pt-BR"/>
        </w:rPr>
        <w:t xml:space="preserve">D. </w:t>
      </w:r>
      <w:r w:rsidR="00802E44" w:rsidRPr="002F4565">
        <w:rPr>
          <w:lang w:val="pt-BR"/>
        </w:rPr>
        <w:t>Políticas</w:t>
      </w:r>
      <w:r w:rsidRPr="002F4565">
        <w:rPr>
          <w:lang w:val="pt-BR"/>
        </w:rPr>
        <w:t xml:space="preserve"> </w:t>
      </w:r>
      <w:r w:rsidR="00765AF7" w:rsidRPr="002F4565">
        <w:rPr>
          <w:lang w:val="pt-BR"/>
        </w:rPr>
        <w:t xml:space="preserve">sobre </w:t>
      </w:r>
      <w:r w:rsidR="00802E44" w:rsidRPr="002F4565">
        <w:rPr>
          <w:lang w:val="pt-BR"/>
        </w:rPr>
        <w:t>investimentos estrangeiros diretos</w:t>
      </w:r>
      <w:r w:rsidR="00765AF7" w:rsidRPr="002F4565">
        <w:rPr>
          <w:lang w:val="pt-BR"/>
        </w:rPr>
        <w:t xml:space="preserve"> (FDI</w:t>
      </w:r>
      <w:r w:rsidR="009B3C1E" w:rsidRPr="002F4565">
        <w:rPr>
          <w:lang w:val="pt-BR"/>
        </w:rPr>
        <w:t>s</w:t>
      </w:r>
      <w:r w:rsidR="00765AF7" w:rsidRPr="002F4565">
        <w:rPr>
          <w:lang w:val="pt-BR"/>
        </w:rPr>
        <w:t>)</w:t>
      </w:r>
    </w:p>
    <w:p w:rsidR="00115B91" w:rsidRPr="002F4565" w:rsidRDefault="00115B91" w:rsidP="0051636A">
      <w:pPr>
        <w:spacing w:before="120" w:after="0" w:line="240" w:lineRule="auto"/>
        <w:rPr>
          <w:lang w:val="pt-BR"/>
        </w:rPr>
      </w:pPr>
      <w:r w:rsidRPr="002F4565">
        <w:rPr>
          <w:lang w:val="pt-BR"/>
        </w:rPr>
        <w:t xml:space="preserve">26. </w:t>
      </w:r>
      <w:r w:rsidR="00765AF7" w:rsidRPr="002F4565">
        <w:rPr>
          <w:lang w:val="pt-BR"/>
        </w:rPr>
        <w:t>As companhias transnacionais (</w:t>
      </w:r>
      <w:r w:rsidRPr="002F4565">
        <w:rPr>
          <w:lang w:val="pt-BR"/>
        </w:rPr>
        <w:t>TNCs</w:t>
      </w:r>
      <w:r w:rsidR="00765AF7" w:rsidRPr="002F4565">
        <w:rPr>
          <w:lang w:val="pt-BR"/>
        </w:rPr>
        <w:t>)</w:t>
      </w:r>
      <w:r w:rsidRPr="002F4565">
        <w:rPr>
          <w:lang w:val="pt-BR"/>
        </w:rPr>
        <w:t xml:space="preserve"> </w:t>
      </w:r>
      <w:r w:rsidR="006A31E1" w:rsidRPr="002F4565">
        <w:rPr>
          <w:lang w:val="pt-BR"/>
        </w:rPr>
        <w:t>que</w:t>
      </w:r>
      <w:r w:rsidRPr="002F4565">
        <w:rPr>
          <w:lang w:val="pt-BR"/>
        </w:rPr>
        <w:t xml:space="preserve"> </w:t>
      </w:r>
      <w:r w:rsidR="00765AF7" w:rsidRPr="002F4565">
        <w:rPr>
          <w:lang w:val="pt-BR"/>
        </w:rPr>
        <w:t xml:space="preserve">fabricam e vendem </w:t>
      </w:r>
      <w:r w:rsidR="003F41C2" w:rsidRPr="002F4565">
        <w:rPr>
          <w:lang w:val="pt-BR"/>
        </w:rPr>
        <w:t>alimentos processados</w:t>
      </w:r>
      <w:r w:rsidRPr="002F4565">
        <w:rPr>
          <w:lang w:val="pt-BR"/>
        </w:rPr>
        <w:t xml:space="preserve"> </w:t>
      </w:r>
      <w:r w:rsidR="00765AF7" w:rsidRPr="002F4565">
        <w:rPr>
          <w:lang w:val="pt-BR"/>
        </w:rPr>
        <w:t xml:space="preserve">estão marcando presença </w:t>
      </w:r>
      <w:r w:rsidRPr="002F4565">
        <w:rPr>
          <w:lang w:val="pt-BR"/>
        </w:rPr>
        <w:t>global</w:t>
      </w:r>
      <w:r w:rsidR="00765AF7" w:rsidRPr="002F4565">
        <w:rPr>
          <w:lang w:val="pt-BR"/>
        </w:rPr>
        <w:t xml:space="preserve"> ao atingir </w:t>
      </w:r>
      <w:r w:rsidR="00802E44" w:rsidRPr="002F4565">
        <w:rPr>
          <w:lang w:val="pt-BR"/>
        </w:rPr>
        <w:t>grupos</w:t>
      </w:r>
      <w:r w:rsidR="00765AF7" w:rsidRPr="002F4565">
        <w:rPr>
          <w:lang w:val="pt-BR"/>
        </w:rPr>
        <w:t xml:space="preserve"> de consumidores que </w:t>
      </w:r>
      <w:r w:rsidRPr="002F4565">
        <w:rPr>
          <w:lang w:val="pt-BR"/>
        </w:rPr>
        <w:t>transcend</w:t>
      </w:r>
      <w:r w:rsidR="00765AF7" w:rsidRPr="002F4565">
        <w:rPr>
          <w:lang w:val="pt-BR"/>
        </w:rPr>
        <w:t>em</w:t>
      </w:r>
      <w:r w:rsidRPr="002F4565">
        <w:rPr>
          <w:lang w:val="pt-BR"/>
        </w:rPr>
        <w:t xml:space="preserve"> </w:t>
      </w:r>
      <w:r w:rsidR="00765AF7" w:rsidRPr="002F4565">
        <w:rPr>
          <w:lang w:val="pt-BR"/>
        </w:rPr>
        <w:t xml:space="preserve">as fronteiras </w:t>
      </w:r>
      <w:r w:rsidR="00C47496" w:rsidRPr="002F4565">
        <w:rPr>
          <w:lang w:val="pt-BR"/>
        </w:rPr>
        <w:t>naciona</w:t>
      </w:r>
      <w:r w:rsidR="00765AF7" w:rsidRPr="002F4565">
        <w:rPr>
          <w:lang w:val="pt-BR"/>
        </w:rPr>
        <w:t xml:space="preserve">is </w:t>
      </w:r>
      <w:r w:rsidR="00DC5949" w:rsidRPr="002F4565">
        <w:rPr>
          <w:lang w:val="pt-BR"/>
        </w:rPr>
        <w:t xml:space="preserve">por </w:t>
      </w:r>
      <w:r w:rsidRPr="002F4565">
        <w:rPr>
          <w:lang w:val="pt-BR"/>
        </w:rPr>
        <w:t>FDI</w:t>
      </w:r>
      <w:r w:rsidR="009B3C1E" w:rsidRPr="002F4565">
        <w:rPr>
          <w:lang w:val="pt-BR"/>
        </w:rPr>
        <w:t>s</w:t>
      </w:r>
      <w:r w:rsidRPr="002F4565">
        <w:rPr>
          <w:lang w:val="pt-BR"/>
        </w:rPr>
        <w:t xml:space="preserve"> </w:t>
      </w:r>
      <w:r w:rsidR="0049090C" w:rsidRPr="002F4565">
        <w:rPr>
          <w:lang w:val="pt-BR"/>
        </w:rPr>
        <w:t>e</w:t>
      </w:r>
      <w:r w:rsidRPr="002F4565">
        <w:rPr>
          <w:lang w:val="pt-BR"/>
        </w:rPr>
        <w:t xml:space="preserve"> </w:t>
      </w:r>
      <w:r w:rsidR="00DC5949" w:rsidRPr="002F4565">
        <w:rPr>
          <w:lang w:val="pt-BR"/>
        </w:rPr>
        <w:t xml:space="preserve">acordos de </w:t>
      </w:r>
      <w:r w:rsidR="00251FF5" w:rsidRPr="002F4565">
        <w:rPr>
          <w:lang w:val="pt-BR"/>
        </w:rPr>
        <w:t>comércio</w:t>
      </w:r>
      <w:r w:rsidR="00DC5949" w:rsidRPr="002F4565">
        <w:rPr>
          <w:lang w:val="pt-BR"/>
        </w:rPr>
        <w:t xml:space="preserve"> </w:t>
      </w:r>
      <w:r w:rsidR="00F21F55" w:rsidRPr="002F4565">
        <w:rPr>
          <w:lang w:val="pt-BR"/>
        </w:rPr>
        <w:t>internacional</w:t>
      </w:r>
      <w:r w:rsidRPr="002F4565">
        <w:rPr>
          <w:lang w:val="pt-BR"/>
        </w:rPr>
        <w:t xml:space="preserve">, </w:t>
      </w:r>
      <w:r w:rsidR="00DC5949" w:rsidRPr="002F4565">
        <w:rPr>
          <w:lang w:val="pt-BR"/>
        </w:rPr>
        <w:t>impactando, portanto</w:t>
      </w:r>
      <w:r w:rsidR="009B3C1E" w:rsidRPr="002F4565">
        <w:rPr>
          <w:lang w:val="pt-BR"/>
        </w:rPr>
        <w:t>,</w:t>
      </w:r>
      <w:r w:rsidR="00DC5949" w:rsidRPr="002F4565">
        <w:rPr>
          <w:lang w:val="pt-BR"/>
        </w:rPr>
        <w:t xml:space="preserve"> a </w:t>
      </w:r>
      <w:r w:rsidR="0049090C" w:rsidRPr="002F4565">
        <w:rPr>
          <w:lang w:val="pt-BR"/>
        </w:rPr>
        <w:t>saúde</w:t>
      </w:r>
      <w:r w:rsidRPr="002F4565">
        <w:rPr>
          <w:lang w:val="pt-BR"/>
        </w:rPr>
        <w:t xml:space="preserve"> </w:t>
      </w:r>
      <w:r w:rsidR="0049090C" w:rsidRPr="002F4565">
        <w:rPr>
          <w:lang w:val="pt-BR"/>
        </w:rPr>
        <w:t>d</w:t>
      </w:r>
      <w:r w:rsidR="009B3C1E" w:rsidRPr="002F4565">
        <w:rPr>
          <w:lang w:val="pt-BR"/>
        </w:rPr>
        <w:t>a</w:t>
      </w:r>
      <w:r w:rsidRPr="002F4565">
        <w:rPr>
          <w:lang w:val="pt-BR"/>
        </w:rPr>
        <w:t xml:space="preserve"> popul</w:t>
      </w:r>
      <w:r w:rsidR="00F21F55" w:rsidRPr="002F4565">
        <w:rPr>
          <w:lang w:val="pt-BR"/>
        </w:rPr>
        <w:t>aç</w:t>
      </w:r>
      <w:r w:rsidR="009B3C1E" w:rsidRPr="002F4565">
        <w:rPr>
          <w:lang w:val="pt-BR"/>
        </w:rPr>
        <w:t xml:space="preserve">ão </w:t>
      </w:r>
      <w:r w:rsidR="00DC5949" w:rsidRPr="002F4565">
        <w:rPr>
          <w:lang w:val="pt-BR"/>
        </w:rPr>
        <w:t>de vários países</w:t>
      </w:r>
      <w:r w:rsidRPr="002F4565">
        <w:rPr>
          <w:lang w:val="pt-BR"/>
        </w:rPr>
        <w:t xml:space="preserve">. </w:t>
      </w:r>
      <w:r w:rsidR="00DC5949" w:rsidRPr="002F4565">
        <w:rPr>
          <w:lang w:val="pt-BR"/>
        </w:rPr>
        <w:t>Reconhecendo este fato</w:t>
      </w:r>
      <w:r w:rsidRPr="002F4565">
        <w:rPr>
          <w:lang w:val="pt-BR"/>
        </w:rPr>
        <w:t xml:space="preserve">, </w:t>
      </w:r>
      <w:r w:rsidR="00DC5949" w:rsidRPr="002F4565">
        <w:rPr>
          <w:lang w:val="pt-BR"/>
        </w:rPr>
        <w:t xml:space="preserve">os </w:t>
      </w:r>
      <w:r w:rsidR="0049090C" w:rsidRPr="002F4565">
        <w:rPr>
          <w:lang w:val="pt-BR"/>
        </w:rPr>
        <w:t>Estados</w:t>
      </w:r>
      <w:r w:rsidRPr="002F4565">
        <w:rPr>
          <w:lang w:val="pt-BR"/>
        </w:rPr>
        <w:t xml:space="preserve"> </w:t>
      </w:r>
      <w:r w:rsidR="00DC5949" w:rsidRPr="002F4565">
        <w:rPr>
          <w:lang w:val="pt-BR"/>
        </w:rPr>
        <w:t xml:space="preserve">precisam </w:t>
      </w:r>
      <w:r w:rsidR="009B3C1E" w:rsidRPr="002F4565">
        <w:rPr>
          <w:lang w:val="pt-BR"/>
        </w:rPr>
        <w:t xml:space="preserve">inserir </w:t>
      </w:r>
      <w:r w:rsidR="00DC5949" w:rsidRPr="002F4565">
        <w:rPr>
          <w:lang w:val="pt-BR"/>
        </w:rPr>
        <w:t xml:space="preserve">estas </w:t>
      </w:r>
      <w:r w:rsidR="00FB4DE4" w:rsidRPr="002F4565">
        <w:rPr>
          <w:lang w:val="pt-BR"/>
        </w:rPr>
        <w:t>companhias</w:t>
      </w:r>
      <w:r w:rsidRPr="002F4565">
        <w:rPr>
          <w:lang w:val="pt-BR"/>
        </w:rPr>
        <w:t xml:space="preserve"> </w:t>
      </w:r>
      <w:r w:rsidR="009B3C1E" w:rsidRPr="002F4565">
        <w:rPr>
          <w:lang w:val="pt-BR"/>
        </w:rPr>
        <w:t xml:space="preserve">em </w:t>
      </w:r>
      <w:r w:rsidR="00DC5949" w:rsidRPr="002F4565">
        <w:rPr>
          <w:lang w:val="pt-BR"/>
        </w:rPr>
        <w:t xml:space="preserve">sua </w:t>
      </w:r>
      <w:r w:rsidR="00E415D7" w:rsidRPr="002F4565">
        <w:rPr>
          <w:lang w:val="pt-BR"/>
        </w:rPr>
        <w:t>estrutura</w:t>
      </w:r>
      <w:r w:rsidR="00DC5949" w:rsidRPr="002F4565">
        <w:rPr>
          <w:lang w:val="pt-BR"/>
        </w:rPr>
        <w:t xml:space="preserve"> regulatória</w:t>
      </w:r>
      <w:r w:rsidRPr="002F4565">
        <w:rPr>
          <w:lang w:val="pt-BR"/>
        </w:rPr>
        <w:t xml:space="preserve">. </w:t>
      </w:r>
      <w:r w:rsidR="00DC5949" w:rsidRPr="002F4565">
        <w:rPr>
          <w:lang w:val="pt-BR"/>
        </w:rPr>
        <w:t xml:space="preserve">Os </w:t>
      </w:r>
      <w:r w:rsidR="0049090C" w:rsidRPr="002F4565">
        <w:rPr>
          <w:lang w:val="pt-BR"/>
        </w:rPr>
        <w:t>Estados</w:t>
      </w:r>
      <w:r w:rsidRPr="002F4565">
        <w:rPr>
          <w:lang w:val="pt-BR"/>
        </w:rPr>
        <w:t xml:space="preserve"> </w:t>
      </w:r>
      <w:r w:rsidR="00DC5949" w:rsidRPr="002F4565">
        <w:rPr>
          <w:lang w:val="pt-BR"/>
        </w:rPr>
        <w:t xml:space="preserve">podem impor condições relacionadas com a </w:t>
      </w:r>
      <w:r w:rsidR="0049090C" w:rsidRPr="002F4565">
        <w:rPr>
          <w:lang w:val="pt-BR"/>
        </w:rPr>
        <w:t>saúde</w:t>
      </w:r>
      <w:r w:rsidR="00DC5949" w:rsidRPr="002F4565">
        <w:rPr>
          <w:lang w:val="pt-BR"/>
        </w:rPr>
        <w:t xml:space="preserve"> sobre os</w:t>
      </w:r>
      <w:r w:rsidRPr="002F4565">
        <w:rPr>
          <w:lang w:val="pt-BR"/>
        </w:rPr>
        <w:t xml:space="preserve"> </w:t>
      </w:r>
      <w:r w:rsidR="00182B8E" w:rsidRPr="002F4565">
        <w:rPr>
          <w:lang w:val="pt-BR"/>
        </w:rPr>
        <w:t>investimento</w:t>
      </w:r>
      <w:r w:rsidRPr="002F4565">
        <w:rPr>
          <w:lang w:val="pt-BR"/>
        </w:rPr>
        <w:t xml:space="preserve">s </w:t>
      </w:r>
      <w:r w:rsidR="00DC5949" w:rsidRPr="002F4565">
        <w:rPr>
          <w:lang w:val="pt-BR"/>
        </w:rPr>
        <w:t xml:space="preserve">pelas </w:t>
      </w:r>
      <w:r w:rsidRPr="002F4565">
        <w:rPr>
          <w:lang w:val="pt-BR"/>
        </w:rPr>
        <w:t xml:space="preserve">TNCs </w:t>
      </w:r>
      <w:r w:rsidR="0049090C" w:rsidRPr="002F4565">
        <w:rPr>
          <w:lang w:val="pt-BR"/>
        </w:rPr>
        <w:t>e</w:t>
      </w:r>
      <w:r w:rsidRPr="002F4565">
        <w:rPr>
          <w:lang w:val="pt-BR"/>
        </w:rPr>
        <w:t xml:space="preserve"> </w:t>
      </w:r>
      <w:r w:rsidR="00DC5949" w:rsidRPr="002F4565">
        <w:rPr>
          <w:lang w:val="pt-BR"/>
        </w:rPr>
        <w:t xml:space="preserve">exigir que cumpram os </w:t>
      </w:r>
      <w:r w:rsidR="003C09F9" w:rsidRPr="002F4565">
        <w:rPr>
          <w:lang w:val="pt-BR"/>
        </w:rPr>
        <w:t>padrões</w:t>
      </w:r>
      <w:r w:rsidRPr="002F4565">
        <w:rPr>
          <w:lang w:val="pt-BR"/>
        </w:rPr>
        <w:t xml:space="preserve"> </w:t>
      </w:r>
      <w:r w:rsidR="00DC5949" w:rsidRPr="002F4565">
        <w:rPr>
          <w:lang w:val="pt-BR"/>
        </w:rPr>
        <w:t xml:space="preserve">domésticos de </w:t>
      </w:r>
      <w:r w:rsidR="003F41C2" w:rsidRPr="002F4565">
        <w:rPr>
          <w:lang w:val="pt-BR"/>
        </w:rPr>
        <w:t>nutrição</w:t>
      </w:r>
      <w:r w:rsidRPr="002F4565">
        <w:rPr>
          <w:lang w:val="pt-BR"/>
        </w:rPr>
        <w:t xml:space="preserve">, </w:t>
      </w:r>
      <w:r w:rsidR="00DC5949" w:rsidRPr="002F4565">
        <w:rPr>
          <w:lang w:val="pt-BR"/>
        </w:rPr>
        <w:t xml:space="preserve">propaganda </w:t>
      </w:r>
      <w:r w:rsidR="0049090C" w:rsidRPr="002F4565">
        <w:rPr>
          <w:lang w:val="pt-BR"/>
        </w:rPr>
        <w:t>e</w:t>
      </w:r>
      <w:r w:rsidRPr="002F4565">
        <w:rPr>
          <w:lang w:val="pt-BR"/>
        </w:rPr>
        <w:t xml:space="preserve"> </w:t>
      </w:r>
      <w:proofErr w:type="gramStart"/>
      <w:r w:rsidR="00BC3868" w:rsidRPr="002F4565">
        <w:rPr>
          <w:lang w:val="pt-BR"/>
        </w:rPr>
        <w:t>publicidade</w:t>
      </w:r>
      <w:r w:rsidRPr="002F4565">
        <w:rPr>
          <w:lang w:val="pt-BR"/>
        </w:rPr>
        <w:t>.</w:t>
      </w:r>
      <w:proofErr w:type="gramEnd"/>
      <w:r w:rsidRPr="002F4565">
        <w:rPr>
          <w:vertAlign w:val="superscript"/>
          <w:lang w:val="pt-BR"/>
        </w:rPr>
        <w:t>41</w:t>
      </w:r>
      <w:r w:rsidRPr="002F4565">
        <w:rPr>
          <w:lang w:val="pt-BR"/>
        </w:rPr>
        <w:t xml:space="preserve"> </w:t>
      </w:r>
    </w:p>
    <w:p w:rsidR="00115B91" w:rsidRPr="002F4565" w:rsidRDefault="00624BDC" w:rsidP="0051636A">
      <w:pPr>
        <w:spacing w:before="120" w:after="0" w:line="240" w:lineRule="auto"/>
        <w:rPr>
          <w:lang w:val="pt-BR"/>
        </w:rPr>
      </w:pPr>
      <w:r w:rsidRPr="002F4565">
        <w:rPr>
          <w:lang w:val="pt-BR"/>
        </w:rPr>
        <w:t>Por exemplo</w:t>
      </w:r>
      <w:r w:rsidR="00115B91" w:rsidRPr="002F4565">
        <w:rPr>
          <w:lang w:val="pt-BR"/>
        </w:rPr>
        <w:t xml:space="preserve">, </w:t>
      </w:r>
      <w:r w:rsidR="00DC5949" w:rsidRPr="002F4565">
        <w:rPr>
          <w:lang w:val="pt-BR"/>
        </w:rPr>
        <w:t xml:space="preserve">os </w:t>
      </w:r>
      <w:r w:rsidR="0049090C" w:rsidRPr="002F4565">
        <w:rPr>
          <w:lang w:val="pt-BR"/>
        </w:rPr>
        <w:t>Estados</w:t>
      </w:r>
      <w:r w:rsidR="00115B91" w:rsidRPr="002F4565">
        <w:rPr>
          <w:lang w:val="pt-BR"/>
        </w:rPr>
        <w:t xml:space="preserve"> </w:t>
      </w:r>
      <w:r w:rsidR="00DC5949" w:rsidRPr="002F4565">
        <w:rPr>
          <w:lang w:val="pt-BR"/>
        </w:rPr>
        <w:t xml:space="preserve">podem </w:t>
      </w:r>
      <w:r w:rsidR="00115B91" w:rsidRPr="002F4565">
        <w:rPr>
          <w:lang w:val="pt-BR"/>
        </w:rPr>
        <w:t>condi</w:t>
      </w:r>
      <w:r w:rsidR="00DC5949" w:rsidRPr="002F4565">
        <w:rPr>
          <w:lang w:val="pt-BR"/>
        </w:rPr>
        <w:t xml:space="preserve">cionar os </w:t>
      </w:r>
      <w:r w:rsidR="00182B8E" w:rsidRPr="002F4565">
        <w:rPr>
          <w:lang w:val="pt-BR"/>
        </w:rPr>
        <w:t>investimento</w:t>
      </w:r>
      <w:r w:rsidR="00115B91" w:rsidRPr="002F4565">
        <w:rPr>
          <w:lang w:val="pt-BR"/>
        </w:rPr>
        <w:t xml:space="preserve">s </w:t>
      </w:r>
      <w:r w:rsidR="00DC5949" w:rsidRPr="002F4565">
        <w:rPr>
          <w:lang w:val="pt-BR"/>
        </w:rPr>
        <w:t xml:space="preserve">de cadeias de varejo estrangeiras à exigência de </w:t>
      </w:r>
      <w:r w:rsidR="009B3C1E" w:rsidRPr="002F4565">
        <w:rPr>
          <w:lang w:val="pt-BR"/>
        </w:rPr>
        <w:t xml:space="preserve">disponibilizar </w:t>
      </w:r>
      <w:r w:rsidR="00FB4401" w:rsidRPr="002F4565">
        <w:rPr>
          <w:lang w:val="pt-BR"/>
        </w:rPr>
        <w:t>alimentos saudáveis</w:t>
      </w:r>
      <w:r w:rsidR="00115B91" w:rsidRPr="002F4565">
        <w:rPr>
          <w:lang w:val="pt-BR"/>
        </w:rPr>
        <w:t xml:space="preserve"> </w:t>
      </w:r>
      <w:r w:rsidR="00FB4DE4" w:rsidRPr="002F4565">
        <w:rPr>
          <w:lang w:val="pt-BR"/>
        </w:rPr>
        <w:t>em</w:t>
      </w:r>
      <w:r w:rsidR="00115B91" w:rsidRPr="002F4565">
        <w:rPr>
          <w:lang w:val="pt-BR"/>
        </w:rPr>
        <w:t xml:space="preserve"> </w:t>
      </w:r>
      <w:r w:rsidR="00DC5949" w:rsidRPr="002F4565">
        <w:rPr>
          <w:lang w:val="pt-BR"/>
        </w:rPr>
        <w:t>suas lojas</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27. </w:t>
      </w:r>
      <w:r w:rsidR="00FB4DE4" w:rsidRPr="002F4565">
        <w:rPr>
          <w:lang w:val="pt-BR"/>
        </w:rPr>
        <w:t>No entanto</w:t>
      </w:r>
      <w:r w:rsidRPr="002F4565">
        <w:rPr>
          <w:lang w:val="pt-BR"/>
        </w:rPr>
        <w:t xml:space="preserve">, </w:t>
      </w:r>
      <w:r w:rsidR="000E48EB" w:rsidRPr="002F4565">
        <w:rPr>
          <w:lang w:val="pt-BR"/>
        </w:rPr>
        <w:t xml:space="preserve">a regulação de </w:t>
      </w:r>
      <w:r w:rsidRPr="002F4565">
        <w:rPr>
          <w:lang w:val="pt-BR"/>
        </w:rPr>
        <w:t>FDI</w:t>
      </w:r>
      <w:r w:rsidR="009B3C1E" w:rsidRPr="002F4565">
        <w:rPr>
          <w:lang w:val="pt-BR"/>
        </w:rPr>
        <w:t>s</w:t>
      </w:r>
      <w:r w:rsidRPr="002F4565">
        <w:rPr>
          <w:lang w:val="pt-BR"/>
        </w:rPr>
        <w:t xml:space="preserve"> </w:t>
      </w:r>
      <w:r w:rsidR="000E48EB" w:rsidRPr="002F4565">
        <w:rPr>
          <w:lang w:val="pt-BR"/>
        </w:rPr>
        <w:t xml:space="preserve">pelas </w:t>
      </w:r>
      <w:r w:rsidRPr="002F4565">
        <w:rPr>
          <w:lang w:val="pt-BR"/>
        </w:rPr>
        <w:t xml:space="preserve">TNCs </w:t>
      </w:r>
      <w:r w:rsidR="000E48EB" w:rsidRPr="002F4565">
        <w:rPr>
          <w:lang w:val="pt-BR"/>
        </w:rPr>
        <w:t xml:space="preserve">por meio de condições sobre o tipo de </w:t>
      </w:r>
      <w:r w:rsidR="0049090C" w:rsidRPr="002F4565">
        <w:rPr>
          <w:lang w:val="pt-BR"/>
        </w:rPr>
        <w:t>alimento</w:t>
      </w:r>
      <w:r w:rsidR="000E48EB" w:rsidRPr="002F4565">
        <w:rPr>
          <w:lang w:val="pt-BR"/>
        </w:rPr>
        <w:t>s</w:t>
      </w:r>
      <w:r w:rsidRPr="002F4565">
        <w:rPr>
          <w:lang w:val="pt-BR"/>
        </w:rPr>
        <w:t xml:space="preserve"> </w:t>
      </w:r>
      <w:r w:rsidR="000E48EB" w:rsidRPr="002F4565">
        <w:rPr>
          <w:lang w:val="pt-BR"/>
        </w:rPr>
        <w:t>que produzem poderá afetar a decisão</w:t>
      </w:r>
      <w:r w:rsidRPr="002F4565">
        <w:rPr>
          <w:lang w:val="pt-BR"/>
        </w:rPr>
        <w:t xml:space="preserve"> </w:t>
      </w:r>
      <w:r w:rsidR="0049090C" w:rsidRPr="002F4565">
        <w:rPr>
          <w:lang w:val="pt-BR"/>
        </w:rPr>
        <w:t>d</w:t>
      </w:r>
      <w:r w:rsidR="000E48EB" w:rsidRPr="002F4565">
        <w:rPr>
          <w:lang w:val="pt-BR"/>
        </w:rPr>
        <w:t>as</w:t>
      </w:r>
      <w:r w:rsidRPr="002F4565">
        <w:rPr>
          <w:lang w:val="pt-BR"/>
        </w:rPr>
        <w:t xml:space="preserve"> TNCs </w:t>
      </w:r>
      <w:r w:rsidR="000E48EB" w:rsidRPr="002F4565">
        <w:rPr>
          <w:lang w:val="pt-BR"/>
        </w:rPr>
        <w:t>de investir ne</w:t>
      </w:r>
      <w:r w:rsidR="0040430A" w:rsidRPr="002F4565">
        <w:rPr>
          <w:lang w:val="pt-BR"/>
        </w:rPr>
        <w:t>stes</w:t>
      </w:r>
      <w:r w:rsidRPr="002F4565">
        <w:rPr>
          <w:lang w:val="pt-BR"/>
        </w:rPr>
        <w:t xml:space="preserve"> </w:t>
      </w:r>
      <w:proofErr w:type="gramStart"/>
      <w:r w:rsidR="0049090C" w:rsidRPr="002F4565">
        <w:rPr>
          <w:lang w:val="pt-BR"/>
        </w:rPr>
        <w:t>Estados</w:t>
      </w:r>
      <w:r w:rsidRPr="002F4565">
        <w:rPr>
          <w:lang w:val="pt-BR"/>
        </w:rPr>
        <w:t>.</w:t>
      </w:r>
      <w:proofErr w:type="gramEnd"/>
      <w:r w:rsidRPr="002F4565">
        <w:rPr>
          <w:vertAlign w:val="superscript"/>
          <w:lang w:val="pt-BR"/>
        </w:rPr>
        <w:t>42</w:t>
      </w:r>
      <w:r w:rsidRPr="002F4565">
        <w:rPr>
          <w:lang w:val="pt-BR"/>
        </w:rPr>
        <w:t xml:space="preserve"> </w:t>
      </w:r>
      <w:r w:rsidR="00072E1E" w:rsidRPr="002F4565">
        <w:rPr>
          <w:lang w:val="pt-BR"/>
        </w:rPr>
        <w:t>Alguns Estados</w:t>
      </w:r>
      <w:r w:rsidRPr="002F4565">
        <w:rPr>
          <w:lang w:val="pt-BR"/>
        </w:rPr>
        <w:t>, espe</w:t>
      </w:r>
      <w:r w:rsidR="000E48EB" w:rsidRPr="002F4565">
        <w:rPr>
          <w:lang w:val="pt-BR"/>
        </w:rPr>
        <w:t>cialmente</w:t>
      </w:r>
      <w:r w:rsidRPr="002F4565">
        <w:rPr>
          <w:lang w:val="pt-BR"/>
        </w:rPr>
        <w:t xml:space="preserve"> </w:t>
      </w:r>
      <w:r w:rsidR="003F41C2" w:rsidRPr="002F4565">
        <w:rPr>
          <w:lang w:val="pt-BR"/>
        </w:rPr>
        <w:t>países de baixa renda e renda média</w:t>
      </w:r>
      <w:r w:rsidRPr="002F4565">
        <w:rPr>
          <w:lang w:val="pt-BR"/>
        </w:rPr>
        <w:t xml:space="preserve"> </w:t>
      </w:r>
      <w:r w:rsidR="006A31E1" w:rsidRPr="002F4565">
        <w:rPr>
          <w:lang w:val="pt-BR"/>
        </w:rPr>
        <w:t>que</w:t>
      </w:r>
      <w:r w:rsidRPr="002F4565">
        <w:rPr>
          <w:lang w:val="pt-BR"/>
        </w:rPr>
        <w:t xml:space="preserve"> </w:t>
      </w:r>
      <w:r w:rsidR="000E48EB" w:rsidRPr="002F4565">
        <w:rPr>
          <w:lang w:val="pt-BR"/>
        </w:rPr>
        <w:t>se baseiam investimentos estrangeiros</w:t>
      </w:r>
      <w:r w:rsidRPr="002F4565">
        <w:rPr>
          <w:lang w:val="pt-BR"/>
        </w:rPr>
        <w:t xml:space="preserve"> </w:t>
      </w:r>
      <w:r w:rsidR="009B3C1E" w:rsidRPr="002F4565">
        <w:rPr>
          <w:lang w:val="pt-BR"/>
        </w:rPr>
        <w:t xml:space="preserve">talvez </w:t>
      </w:r>
      <w:r w:rsidR="000E48EB" w:rsidRPr="002F4565">
        <w:rPr>
          <w:lang w:val="pt-BR"/>
        </w:rPr>
        <w:t>não cons</w:t>
      </w:r>
      <w:r w:rsidR="009B3C1E" w:rsidRPr="002F4565">
        <w:rPr>
          <w:lang w:val="pt-BR"/>
        </w:rPr>
        <w:t xml:space="preserve">igam </w:t>
      </w:r>
      <w:r w:rsidRPr="002F4565">
        <w:rPr>
          <w:lang w:val="pt-BR"/>
        </w:rPr>
        <w:t>impo</w:t>
      </w:r>
      <w:r w:rsidR="000E48EB" w:rsidRPr="002F4565">
        <w:rPr>
          <w:lang w:val="pt-BR"/>
        </w:rPr>
        <w:t xml:space="preserve">r condições de </w:t>
      </w:r>
      <w:r w:rsidR="0049090C" w:rsidRPr="002F4565">
        <w:rPr>
          <w:lang w:val="pt-BR"/>
        </w:rPr>
        <w:t>saúde</w:t>
      </w:r>
      <w:r w:rsidRPr="002F4565">
        <w:rPr>
          <w:lang w:val="pt-BR"/>
        </w:rPr>
        <w:t xml:space="preserve"> </w:t>
      </w:r>
      <w:r w:rsidR="003F41C2" w:rsidRPr="002F4565">
        <w:rPr>
          <w:lang w:val="pt-BR"/>
        </w:rPr>
        <w:t>ou</w:t>
      </w:r>
      <w:r w:rsidRPr="002F4565">
        <w:rPr>
          <w:lang w:val="pt-BR"/>
        </w:rPr>
        <w:t xml:space="preserve"> </w:t>
      </w:r>
      <w:r w:rsidR="0049090C" w:rsidRPr="002F4565">
        <w:rPr>
          <w:lang w:val="pt-BR"/>
        </w:rPr>
        <w:t>relacionadas com a dieta</w:t>
      </w:r>
      <w:r w:rsidRPr="002F4565">
        <w:rPr>
          <w:lang w:val="pt-BR"/>
        </w:rPr>
        <w:t xml:space="preserve">. </w:t>
      </w:r>
      <w:r w:rsidR="000E48EB" w:rsidRPr="002F4565">
        <w:rPr>
          <w:lang w:val="pt-BR"/>
        </w:rPr>
        <w:t xml:space="preserve">Os </w:t>
      </w:r>
      <w:r w:rsidR="0049090C" w:rsidRPr="002F4565">
        <w:rPr>
          <w:lang w:val="pt-BR"/>
        </w:rPr>
        <w:t>Estados</w:t>
      </w:r>
      <w:r w:rsidRPr="002F4565">
        <w:rPr>
          <w:lang w:val="pt-BR"/>
        </w:rPr>
        <w:t xml:space="preserve"> </w:t>
      </w:r>
      <w:r w:rsidR="000E48EB" w:rsidRPr="002F4565">
        <w:rPr>
          <w:lang w:val="pt-BR"/>
        </w:rPr>
        <w:t>podem,</w:t>
      </w:r>
      <w:r w:rsidRPr="002F4565">
        <w:rPr>
          <w:lang w:val="pt-BR"/>
        </w:rPr>
        <w:t xml:space="preserve"> </w:t>
      </w:r>
      <w:r w:rsidR="00FB4401" w:rsidRPr="002F4565">
        <w:rPr>
          <w:lang w:val="pt-BR"/>
        </w:rPr>
        <w:t>portanto</w:t>
      </w:r>
      <w:r w:rsidR="000E48EB" w:rsidRPr="002F4565">
        <w:rPr>
          <w:lang w:val="pt-BR"/>
        </w:rPr>
        <w:t>,</w:t>
      </w:r>
      <w:r w:rsidRPr="002F4565">
        <w:rPr>
          <w:lang w:val="pt-BR"/>
        </w:rPr>
        <w:t xml:space="preserve"> </w:t>
      </w:r>
      <w:r w:rsidR="005A25F5" w:rsidRPr="002F4565">
        <w:rPr>
          <w:lang w:val="pt-BR"/>
        </w:rPr>
        <w:t>não</w:t>
      </w:r>
      <w:r w:rsidRPr="002F4565">
        <w:rPr>
          <w:lang w:val="pt-BR"/>
        </w:rPr>
        <w:t xml:space="preserve"> </w:t>
      </w:r>
      <w:r w:rsidR="000E48EB" w:rsidRPr="002F4565">
        <w:rPr>
          <w:lang w:val="pt-BR"/>
        </w:rPr>
        <w:t xml:space="preserve">dar primazia à </w:t>
      </w:r>
      <w:r w:rsidR="0049090C" w:rsidRPr="002F4565">
        <w:rPr>
          <w:lang w:val="pt-BR"/>
        </w:rPr>
        <w:t>saúde</w:t>
      </w:r>
      <w:r w:rsidRPr="002F4565">
        <w:rPr>
          <w:lang w:val="pt-BR"/>
        </w:rPr>
        <w:t xml:space="preserve"> </w:t>
      </w:r>
      <w:r w:rsidR="0049090C" w:rsidRPr="002F4565">
        <w:rPr>
          <w:lang w:val="pt-BR"/>
        </w:rPr>
        <w:t>d</w:t>
      </w:r>
      <w:r w:rsidR="000E48EB" w:rsidRPr="002F4565">
        <w:rPr>
          <w:lang w:val="pt-BR"/>
        </w:rPr>
        <w:t>a</w:t>
      </w:r>
      <w:r w:rsidRPr="002F4565">
        <w:rPr>
          <w:lang w:val="pt-BR"/>
        </w:rPr>
        <w:t xml:space="preserve"> popul</w:t>
      </w:r>
      <w:r w:rsidR="00F21F55" w:rsidRPr="002F4565">
        <w:rPr>
          <w:lang w:val="pt-BR"/>
        </w:rPr>
        <w:t>ação</w:t>
      </w:r>
      <w:r w:rsidRPr="002F4565">
        <w:rPr>
          <w:lang w:val="pt-BR"/>
        </w:rPr>
        <w:t xml:space="preserve">, </w:t>
      </w:r>
      <w:r w:rsidR="009B3C1E" w:rsidRPr="002F4565">
        <w:rPr>
          <w:lang w:val="pt-BR"/>
        </w:rPr>
        <w:t xml:space="preserve">enfraquecendo </w:t>
      </w:r>
      <w:r w:rsidR="000E48EB" w:rsidRPr="002F4565">
        <w:rPr>
          <w:lang w:val="pt-BR"/>
        </w:rPr>
        <w:t xml:space="preserve">o exercício </w:t>
      </w:r>
      <w:r w:rsidR="009B3C1E" w:rsidRPr="002F4565">
        <w:rPr>
          <w:lang w:val="pt-BR"/>
        </w:rPr>
        <w:t xml:space="preserve">completo </w:t>
      </w:r>
      <w:r w:rsidR="0049090C" w:rsidRPr="002F4565">
        <w:rPr>
          <w:lang w:val="pt-BR"/>
        </w:rPr>
        <w:t>d</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0E48EB" w:rsidRPr="002F4565">
        <w:rPr>
          <w:lang w:val="pt-BR"/>
        </w:rPr>
        <w:t>Há</w:t>
      </w:r>
      <w:r w:rsidRPr="002F4565">
        <w:rPr>
          <w:lang w:val="pt-BR"/>
        </w:rPr>
        <w:t xml:space="preserve"> </w:t>
      </w:r>
      <w:r w:rsidR="0049090C" w:rsidRPr="002F4565">
        <w:rPr>
          <w:lang w:val="pt-BR"/>
        </w:rPr>
        <w:t>necessidade</w:t>
      </w:r>
      <w:r w:rsidRPr="002F4565">
        <w:rPr>
          <w:lang w:val="pt-BR"/>
        </w:rPr>
        <w:t xml:space="preserve"> </w:t>
      </w:r>
      <w:r w:rsidR="000E48EB" w:rsidRPr="002F4565">
        <w:rPr>
          <w:lang w:val="pt-BR"/>
        </w:rPr>
        <w:t xml:space="preserve">de usar </w:t>
      </w:r>
      <w:r w:rsidR="003F41C2" w:rsidRPr="002F4565">
        <w:rPr>
          <w:lang w:val="pt-BR"/>
        </w:rPr>
        <w:t>outr</w:t>
      </w:r>
      <w:r w:rsidR="000E48EB" w:rsidRPr="002F4565">
        <w:rPr>
          <w:lang w:val="pt-BR"/>
        </w:rPr>
        <w:t>a</w:t>
      </w:r>
      <w:r w:rsidR="003F41C2" w:rsidRPr="002F4565">
        <w:rPr>
          <w:lang w:val="pt-BR"/>
        </w:rPr>
        <w:t>s</w:t>
      </w:r>
      <w:r w:rsidRPr="002F4565">
        <w:rPr>
          <w:lang w:val="pt-BR"/>
        </w:rPr>
        <w:t xml:space="preserve"> </w:t>
      </w:r>
      <w:r w:rsidR="002E1AA7" w:rsidRPr="002F4565">
        <w:rPr>
          <w:lang w:val="pt-BR"/>
        </w:rPr>
        <w:t>abordagens</w:t>
      </w:r>
      <w:r w:rsidRPr="002F4565">
        <w:rPr>
          <w:lang w:val="pt-BR"/>
        </w:rPr>
        <w:t xml:space="preserve">, </w:t>
      </w:r>
      <w:r w:rsidR="000E48EB" w:rsidRPr="002F4565">
        <w:rPr>
          <w:lang w:val="pt-BR"/>
        </w:rPr>
        <w:t xml:space="preserve">como o incentivo à produção </w:t>
      </w:r>
      <w:r w:rsidR="0049090C" w:rsidRPr="002F4565">
        <w:rPr>
          <w:lang w:val="pt-BR"/>
        </w:rPr>
        <w:t>e</w:t>
      </w:r>
      <w:r w:rsidRPr="002F4565">
        <w:rPr>
          <w:lang w:val="pt-BR"/>
        </w:rPr>
        <w:t xml:space="preserve"> </w:t>
      </w:r>
      <w:r w:rsidR="00FB4401" w:rsidRPr="002F4565">
        <w:rPr>
          <w:lang w:val="pt-BR"/>
        </w:rPr>
        <w:t>venda</w:t>
      </w:r>
      <w:r w:rsidRPr="002F4565">
        <w:rPr>
          <w:lang w:val="pt-BR"/>
        </w:rPr>
        <w:t xml:space="preserve"> </w:t>
      </w:r>
      <w:r w:rsidR="0049090C" w:rsidRPr="002F4565">
        <w:rPr>
          <w:lang w:val="pt-BR"/>
        </w:rPr>
        <w:t>de</w:t>
      </w:r>
      <w:r w:rsidRPr="002F4565">
        <w:rPr>
          <w:lang w:val="pt-BR"/>
        </w:rPr>
        <w:t xml:space="preserve"> </w:t>
      </w:r>
      <w:r w:rsidR="00F21F55" w:rsidRPr="002F4565">
        <w:rPr>
          <w:lang w:val="pt-BR"/>
        </w:rPr>
        <w:t>alternativas</w:t>
      </w:r>
      <w:r w:rsidR="000E48EB" w:rsidRPr="002F4565">
        <w:rPr>
          <w:lang w:val="pt-BR"/>
        </w:rPr>
        <w:t xml:space="preserve"> mais saudáveis</w:t>
      </w:r>
      <w:r w:rsidRPr="002F4565">
        <w:rPr>
          <w:lang w:val="pt-BR"/>
        </w:rPr>
        <w:t xml:space="preserve"> </w:t>
      </w:r>
      <w:r w:rsidR="000E48EB" w:rsidRPr="002F4565">
        <w:rPr>
          <w:lang w:val="pt-BR"/>
        </w:rPr>
        <w:t xml:space="preserve">para </w:t>
      </w:r>
      <w:r w:rsidR="00624BDC" w:rsidRPr="002F4565">
        <w:rPr>
          <w:lang w:val="pt-BR"/>
        </w:rPr>
        <w:t>proteger</w:t>
      </w:r>
      <w:r w:rsidRPr="002F4565">
        <w:rPr>
          <w:lang w:val="pt-BR"/>
        </w:rPr>
        <w:t xml:space="preserve">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49090C" w:rsidRPr="002F4565">
        <w:rPr>
          <w:lang w:val="pt-BR"/>
        </w:rPr>
        <w:t>de</w:t>
      </w:r>
      <w:r w:rsidRPr="002F4565">
        <w:rPr>
          <w:lang w:val="pt-BR"/>
        </w:rPr>
        <w:t xml:space="preserve"> </w:t>
      </w:r>
      <w:r w:rsidR="006A31E1" w:rsidRPr="002F4565">
        <w:rPr>
          <w:lang w:val="pt-BR"/>
        </w:rPr>
        <w:t>pessoas</w:t>
      </w:r>
      <w:r w:rsidRPr="002F4565">
        <w:rPr>
          <w:lang w:val="pt-BR"/>
        </w:rPr>
        <w:t xml:space="preserve"> </w:t>
      </w:r>
      <w:r w:rsidR="0049090C" w:rsidRPr="002F4565">
        <w:rPr>
          <w:lang w:val="pt-BR"/>
        </w:rPr>
        <w:t>e</w:t>
      </w:r>
      <w:r w:rsidRPr="002F4565">
        <w:rPr>
          <w:lang w:val="pt-BR"/>
        </w:rPr>
        <w:t xml:space="preserve"> </w:t>
      </w:r>
      <w:r w:rsidR="000E48EB" w:rsidRPr="002F4565">
        <w:rPr>
          <w:lang w:val="pt-BR"/>
        </w:rPr>
        <w:t xml:space="preserve">ainda atrair </w:t>
      </w:r>
      <w:r w:rsidRPr="002F4565">
        <w:rPr>
          <w:lang w:val="pt-BR"/>
        </w:rPr>
        <w:t>FDI</w:t>
      </w:r>
      <w:r w:rsidR="009B3C1E" w:rsidRPr="002F4565">
        <w:rPr>
          <w:lang w:val="pt-BR"/>
        </w:rPr>
        <w:t>s</w:t>
      </w:r>
      <w:r w:rsidRPr="002F4565">
        <w:rPr>
          <w:lang w:val="pt-BR"/>
        </w:rPr>
        <w:t>.</w:t>
      </w:r>
    </w:p>
    <w:p w:rsidR="00117FB4" w:rsidRPr="002F4565" w:rsidRDefault="00115B91" w:rsidP="0051636A">
      <w:pPr>
        <w:spacing w:before="120" w:after="0" w:line="240" w:lineRule="auto"/>
        <w:rPr>
          <w:lang w:val="pt-BR"/>
        </w:rPr>
      </w:pPr>
      <w:r w:rsidRPr="002F4565">
        <w:rPr>
          <w:lang w:val="pt-BR"/>
        </w:rPr>
        <w:t xml:space="preserve">V. </w:t>
      </w:r>
      <w:r w:rsidR="00802E44" w:rsidRPr="002F4565">
        <w:rPr>
          <w:lang w:val="pt-BR"/>
        </w:rPr>
        <w:t>Responsabilidades</w:t>
      </w:r>
      <w:r w:rsidRPr="002F4565">
        <w:rPr>
          <w:lang w:val="pt-BR"/>
        </w:rPr>
        <w:t xml:space="preserve"> </w:t>
      </w:r>
      <w:r w:rsidR="0049090C" w:rsidRPr="002F4565">
        <w:rPr>
          <w:lang w:val="pt-BR"/>
        </w:rPr>
        <w:t>d</w:t>
      </w:r>
      <w:r w:rsidR="000E48EB" w:rsidRPr="002F4565">
        <w:rPr>
          <w:lang w:val="pt-BR"/>
        </w:rPr>
        <w:t xml:space="preserve">a </w:t>
      </w:r>
      <w:r w:rsidR="00802E44" w:rsidRPr="002F4565">
        <w:rPr>
          <w:lang w:val="pt-BR"/>
        </w:rPr>
        <w:t>indústria</w:t>
      </w:r>
      <w:r w:rsidRPr="002F4565">
        <w:rPr>
          <w:lang w:val="pt-BR"/>
        </w:rPr>
        <w:t xml:space="preserve"> </w:t>
      </w:r>
      <w:r w:rsidR="000E48EB" w:rsidRPr="002F4565">
        <w:rPr>
          <w:lang w:val="pt-BR"/>
        </w:rPr>
        <w:t xml:space="preserve">de alimentos e </w:t>
      </w:r>
      <w:proofErr w:type="gramStart"/>
      <w:r w:rsidR="000E48EB" w:rsidRPr="002F4565">
        <w:rPr>
          <w:lang w:val="pt-BR"/>
        </w:rPr>
        <w:t>bebidas</w:t>
      </w:r>
      <w:proofErr w:type="gramEnd"/>
    </w:p>
    <w:p w:rsidR="00115B91" w:rsidRPr="002F4565" w:rsidRDefault="00115B91" w:rsidP="0051636A">
      <w:pPr>
        <w:spacing w:before="120" w:after="0" w:line="240" w:lineRule="auto"/>
        <w:rPr>
          <w:lang w:val="pt-BR"/>
        </w:rPr>
      </w:pPr>
      <w:r w:rsidRPr="002F4565">
        <w:rPr>
          <w:lang w:val="pt-BR"/>
        </w:rPr>
        <w:t xml:space="preserve">28. </w:t>
      </w:r>
      <w:r w:rsidR="00C47496" w:rsidRPr="002F4565">
        <w:rPr>
          <w:lang w:val="pt-BR"/>
        </w:rPr>
        <w:t>Embora</w:t>
      </w:r>
      <w:r w:rsidRPr="002F4565">
        <w:rPr>
          <w:lang w:val="pt-BR"/>
        </w:rPr>
        <w:t xml:space="preserve"> </w:t>
      </w:r>
      <w:r w:rsidR="000E48EB" w:rsidRPr="002F4565">
        <w:rPr>
          <w:lang w:val="pt-BR"/>
        </w:rPr>
        <w:t>instrumento</w:t>
      </w:r>
      <w:r w:rsidRPr="002F4565">
        <w:rPr>
          <w:lang w:val="pt-BR"/>
        </w:rPr>
        <w:t xml:space="preserve">s </w:t>
      </w:r>
      <w:r w:rsidR="000E48EB" w:rsidRPr="002F4565">
        <w:rPr>
          <w:lang w:val="pt-BR"/>
        </w:rPr>
        <w:t xml:space="preserve">internacionais de direitos humanos </w:t>
      </w:r>
      <w:r w:rsidR="009B3C1E" w:rsidRPr="002F4565">
        <w:rPr>
          <w:lang w:val="pt-BR"/>
        </w:rPr>
        <w:t xml:space="preserve">apontem </w:t>
      </w:r>
      <w:r w:rsidR="000E48EB" w:rsidRPr="002F4565">
        <w:rPr>
          <w:lang w:val="pt-BR"/>
        </w:rPr>
        <w:t xml:space="preserve">os </w:t>
      </w:r>
      <w:r w:rsidR="0049090C" w:rsidRPr="002F4565">
        <w:rPr>
          <w:lang w:val="pt-BR"/>
        </w:rPr>
        <w:t>Estados</w:t>
      </w:r>
      <w:r w:rsidRPr="002F4565">
        <w:rPr>
          <w:lang w:val="pt-BR"/>
        </w:rPr>
        <w:t xml:space="preserve"> </w:t>
      </w:r>
      <w:r w:rsidR="000E48EB" w:rsidRPr="002F4565">
        <w:rPr>
          <w:lang w:val="pt-BR"/>
        </w:rPr>
        <w:t>como principais responsáveis</w:t>
      </w:r>
      <w:r w:rsidRPr="002F4565">
        <w:rPr>
          <w:lang w:val="pt-BR"/>
        </w:rPr>
        <w:t xml:space="preserve">, </w:t>
      </w:r>
      <w:r w:rsidR="000E48EB" w:rsidRPr="002F4565">
        <w:rPr>
          <w:lang w:val="pt-BR"/>
        </w:rPr>
        <w:t xml:space="preserve">agentes </w:t>
      </w:r>
      <w:r w:rsidR="00303A80" w:rsidRPr="002F4565">
        <w:rPr>
          <w:lang w:val="pt-BR"/>
        </w:rPr>
        <w:t xml:space="preserve">não pertencentes ao </w:t>
      </w:r>
      <w:r w:rsidR="000E48EB" w:rsidRPr="002F4565">
        <w:rPr>
          <w:lang w:val="pt-BR"/>
        </w:rPr>
        <w:t xml:space="preserve">Estado </w:t>
      </w:r>
      <w:r w:rsidR="0040430A" w:rsidRPr="002F4565">
        <w:rPr>
          <w:lang w:val="pt-BR"/>
        </w:rPr>
        <w:t>são</w:t>
      </w:r>
      <w:r w:rsidRPr="002F4565">
        <w:rPr>
          <w:lang w:val="pt-BR"/>
        </w:rPr>
        <w:t xml:space="preserve"> </w:t>
      </w:r>
      <w:r w:rsidR="00F21F55" w:rsidRPr="002F4565">
        <w:rPr>
          <w:lang w:val="pt-BR"/>
        </w:rPr>
        <w:t>também</w:t>
      </w:r>
      <w:r w:rsidRPr="002F4565">
        <w:rPr>
          <w:lang w:val="pt-BR"/>
        </w:rPr>
        <w:t xml:space="preserve"> </w:t>
      </w:r>
      <w:r w:rsidR="000E48EB" w:rsidRPr="002F4565">
        <w:rPr>
          <w:lang w:val="pt-BR"/>
        </w:rPr>
        <w:t xml:space="preserve">encarregados da </w:t>
      </w:r>
      <w:r w:rsidR="00765AF7" w:rsidRPr="002F4565">
        <w:rPr>
          <w:lang w:val="pt-BR"/>
        </w:rPr>
        <w:t>responsa</w:t>
      </w:r>
      <w:r w:rsidR="0049090C" w:rsidRPr="002F4565">
        <w:rPr>
          <w:lang w:val="pt-BR"/>
        </w:rPr>
        <w:t>bilidade</w:t>
      </w:r>
      <w:r w:rsidRPr="002F4565">
        <w:rPr>
          <w:lang w:val="pt-BR"/>
        </w:rPr>
        <w:t xml:space="preserve"> </w:t>
      </w:r>
      <w:r w:rsidR="000E48EB" w:rsidRPr="002F4565">
        <w:rPr>
          <w:lang w:val="pt-BR"/>
        </w:rPr>
        <w:t>de</w:t>
      </w:r>
      <w:r w:rsidRPr="002F4565">
        <w:rPr>
          <w:lang w:val="pt-BR"/>
        </w:rPr>
        <w:t xml:space="preserve"> </w:t>
      </w:r>
      <w:r w:rsidR="00F21F55" w:rsidRPr="002F4565">
        <w:rPr>
          <w:lang w:val="pt-BR"/>
        </w:rPr>
        <w:t>respeit</w:t>
      </w:r>
      <w:r w:rsidR="000E48EB" w:rsidRPr="002F4565">
        <w:rPr>
          <w:lang w:val="pt-BR"/>
        </w:rPr>
        <w:t>ar</w:t>
      </w:r>
      <w:r w:rsidRPr="002F4565">
        <w:rPr>
          <w:lang w:val="pt-BR"/>
        </w:rPr>
        <w:t xml:space="preserve">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0E48EB" w:rsidRPr="002F4565">
        <w:rPr>
          <w:lang w:val="pt-BR"/>
        </w:rPr>
        <w:t>A Aliança Internacional sobre Direitos Econômicos, Sociais e Culturais proíbe a</w:t>
      </w:r>
      <w:r w:rsidRPr="002F4565">
        <w:rPr>
          <w:lang w:val="pt-BR"/>
        </w:rPr>
        <w:t xml:space="preserve"> viol</w:t>
      </w:r>
      <w:r w:rsidR="00F21F55" w:rsidRPr="002F4565">
        <w:rPr>
          <w:lang w:val="pt-BR"/>
        </w:rPr>
        <w:t>ação</w:t>
      </w:r>
      <w:r w:rsidRPr="002F4565">
        <w:rPr>
          <w:lang w:val="pt-BR"/>
        </w:rPr>
        <w:t xml:space="preserve"> </w:t>
      </w:r>
      <w:r w:rsidR="0049090C" w:rsidRPr="002F4565">
        <w:rPr>
          <w:lang w:val="pt-BR"/>
        </w:rPr>
        <w:t>de</w:t>
      </w:r>
      <w:r w:rsidRPr="002F4565">
        <w:rPr>
          <w:lang w:val="pt-BR"/>
        </w:rPr>
        <w:t xml:space="preserve"> </w:t>
      </w:r>
      <w:r w:rsidR="000E48EB" w:rsidRPr="002F4565">
        <w:rPr>
          <w:lang w:val="pt-BR"/>
        </w:rPr>
        <w:t>direitos humanos</w:t>
      </w:r>
      <w:r w:rsidRPr="002F4565">
        <w:rPr>
          <w:lang w:val="pt-BR"/>
        </w:rPr>
        <w:t xml:space="preserve"> </w:t>
      </w:r>
      <w:r w:rsidR="000E48EB" w:rsidRPr="002F4565">
        <w:rPr>
          <w:lang w:val="pt-BR"/>
        </w:rPr>
        <w:t>consagrad</w:t>
      </w:r>
      <w:r w:rsidR="00E72375" w:rsidRPr="002F4565">
        <w:rPr>
          <w:lang w:val="pt-BR"/>
        </w:rPr>
        <w:t>os</w:t>
      </w:r>
      <w:r w:rsidRPr="002F4565">
        <w:rPr>
          <w:lang w:val="pt-BR"/>
        </w:rPr>
        <w:t xml:space="preserve"> </w:t>
      </w:r>
      <w:r w:rsidR="000E48EB" w:rsidRPr="002F4565">
        <w:rPr>
          <w:lang w:val="pt-BR"/>
        </w:rPr>
        <w:t>em seu documento</w:t>
      </w:r>
      <w:r w:rsidR="00E72375" w:rsidRPr="002F4565">
        <w:rPr>
          <w:lang w:val="pt-BR"/>
        </w:rPr>
        <w:t>,</w:t>
      </w:r>
      <w:r w:rsidR="000E48EB" w:rsidRPr="002F4565">
        <w:rPr>
          <w:lang w:val="pt-BR"/>
        </w:rPr>
        <w:t xml:space="preserve"> </w:t>
      </w:r>
      <w:r w:rsidR="005A25F5" w:rsidRPr="002F4565">
        <w:rPr>
          <w:lang w:val="pt-BR"/>
        </w:rPr>
        <w:t>não</w:t>
      </w:r>
      <w:r w:rsidRPr="002F4565">
        <w:rPr>
          <w:lang w:val="pt-BR"/>
        </w:rPr>
        <w:t xml:space="preserve"> </w:t>
      </w:r>
      <w:r w:rsidR="000E48EB" w:rsidRPr="002F4565">
        <w:rPr>
          <w:lang w:val="pt-BR"/>
        </w:rPr>
        <w:t xml:space="preserve">apenas </w:t>
      </w:r>
      <w:r w:rsidR="000E48EB" w:rsidRPr="002F4565">
        <w:rPr>
          <w:lang w:val="pt-BR"/>
        </w:rPr>
        <w:lastRenderedPageBreak/>
        <w:t xml:space="preserve">pelos </w:t>
      </w:r>
      <w:r w:rsidR="0049090C" w:rsidRPr="002F4565">
        <w:rPr>
          <w:lang w:val="pt-BR"/>
        </w:rPr>
        <w:t>Estados</w:t>
      </w:r>
      <w:r w:rsidRPr="002F4565">
        <w:rPr>
          <w:lang w:val="pt-BR"/>
        </w:rPr>
        <w:t xml:space="preserve">, </w:t>
      </w:r>
      <w:r w:rsidR="0040430A" w:rsidRPr="002F4565">
        <w:rPr>
          <w:lang w:val="pt-BR"/>
        </w:rPr>
        <w:t>mas</w:t>
      </w:r>
      <w:r w:rsidRPr="002F4565">
        <w:rPr>
          <w:lang w:val="pt-BR"/>
        </w:rPr>
        <w:t xml:space="preserve"> </w:t>
      </w:r>
      <w:r w:rsidR="00F21F55" w:rsidRPr="002F4565">
        <w:rPr>
          <w:lang w:val="pt-BR"/>
        </w:rPr>
        <w:t>também</w:t>
      </w:r>
      <w:r w:rsidRPr="002F4565">
        <w:rPr>
          <w:lang w:val="pt-BR"/>
        </w:rPr>
        <w:t xml:space="preserve"> </w:t>
      </w:r>
      <w:r w:rsidR="000E48EB" w:rsidRPr="002F4565">
        <w:rPr>
          <w:lang w:val="pt-BR"/>
        </w:rPr>
        <w:t xml:space="preserve">por qualquer </w:t>
      </w:r>
      <w:r w:rsidRPr="002F4565">
        <w:rPr>
          <w:lang w:val="pt-BR"/>
        </w:rPr>
        <w:t>“</w:t>
      </w:r>
      <w:r w:rsidR="000E48EB" w:rsidRPr="002F4565">
        <w:rPr>
          <w:lang w:val="pt-BR"/>
        </w:rPr>
        <w:t>grupo</w:t>
      </w:r>
      <w:r w:rsidRPr="002F4565">
        <w:rPr>
          <w:lang w:val="pt-BR"/>
        </w:rPr>
        <w:t xml:space="preserve"> </w:t>
      </w:r>
      <w:r w:rsidR="003F41C2" w:rsidRPr="002F4565">
        <w:rPr>
          <w:lang w:val="pt-BR"/>
        </w:rPr>
        <w:t>ou</w:t>
      </w:r>
      <w:r w:rsidRPr="002F4565">
        <w:rPr>
          <w:lang w:val="pt-BR"/>
        </w:rPr>
        <w:t xml:space="preserve"> pes</w:t>
      </w:r>
      <w:r w:rsidR="000E48EB" w:rsidRPr="002F4565">
        <w:rPr>
          <w:lang w:val="pt-BR"/>
        </w:rPr>
        <w:t>soa</w:t>
      </w:r>
      <w:r w:rsidRPr="002F4565">
        <w:rPr>
          <w:lang w:val="pt-BR"/>
        </w:rPr>
        <w:t xml:space="preserve">”, </w:t>
      </w:r>
      <w:r w:rsidR="000E48EB" w:rsidRPr="002F4565">
        <w:rPr>
          <w:lang w:val="pt-BR"/>
        </w:rPr>
        <w:t>implicando claramente a</w:t>
      </w:r>
      <w:r w:rsidRPr="002F4565">
        <w:rPr>
          <w:lang w:val="pt-BR"/>
        </w:rPr>
        <w:t xml:space="preserve"> </w:t>
      </w:r>
      <w:r w:rsidR="00765AF7" w:rsidRPr="002F4565">
        <w:rPr>
          <w:lang w:val="pt-BR"/>
        </w:rPr>
        <w:t>responsa</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153A40" w:rsidRPr="002F4565">
        <w:rPr>
          <w:lang w:val="pt-BR"/>
        </w:rPr>
        <w:t xml:space="preserve">agentes </w:t>
      </w:r>
      <w:r w:rsidR="00303A80" w:rsidRPr="002F4565">
        <w:rPr>
          <w:lang w:val="pt-BR"/>
        </w:rPr>
        <w:t xml:space="preserve">não pertencentes ao </w:t>
      </w:r>
      <w:r w:rsidR="006A31E1" w:rsidRPr="002F4565">
        <w:rPr>
          <w:lang w:val="pt-BR"/>
        </w:rPr>
        <w:t>Estado</w:t>
      </w:r>
      <w:r w:rsidRPr="002F4565">
        <w:rPr>
          <w:lang w:val="pt-BR"/>
        </w:rPr>
        <w:t xml:space="preserve"> </w:t>
      </w:r>
      <w:r w:rsidR="00153A40" w:rsidRPr="002F4565">
        <w:rPr>
          <w:lang w:val="pt-BR"/>
        </w:rPr>
        <w:t xml:space="preserve">no exercício </w:t>
      </w:r>
      <w:r w:rsidR="0049090C" w:rsidRPr="002F4565">
        <w:rPr>
          <w:lang w:val="pt-BR"/>
        </w:rPr>
        <w:t>de</w:t>
      </w:r>
      <w:r w:rsidRPr="002F4565">
        <w:rPr>
          <w:lang w:val="pt-BR"/>
        </w:rPr>
        <w:t xml:space="preserve"> </w:t>
      </w:r>
      <w:r w:rsidR="000E48EB" w:rsidRPr="002F4565">
        <w:rPr>
          <w:lang w:val="pt-BR"/>
        </w:rPr>
        <w:t>direitos humanos</w:t>
      </w:r>
      <w:r w:rsidRPr="002F4565">
        <w:rPr>
          <w:lang w:val="pt-BR"/>
        </w:rPr>
        <w:t xml:space="preserve"> (</w:t>
      </w:r>
      <w:r w:rsidR="00153A40" w:rsidRPr="002F4565">
        <w:rPr>
          <w:lang w:val="pt-BR"/>
        </w:rPr>
        <w:t>artigo</w:t>
      </w:r>
      <w:r w:rsidRPr="002F4565">
        <w:rPr>
          <w:lang w:val="pt-BR"/>
        </w:rPr>
        <w:t xml:space="preserve"> </w:t>
      </w:r>
      <w:proofErr w:type="gramStart"/>
      <w:r w:rsidRPr="002F4565">
        <w:rPr>
          <w:lang w:val="pt-BR"/>
        </w:rPr>
        <w:t>5</w:t>
      </w:r>
      <w:proofErr w:type="gramEnd"/>
      <w:r w:rsidRPr="002F4565">
        <w:rPr>
          <w:lang w:val="pt-BR"/>
        </w:rPr>
        <w:t xml:space="preserve">). </w:t>
      </w:r>
      <w:r w:rsidR="00153A40" w:rsidRPr="002F4565">
        <w:rPr>
          <w:lang w:val="pt-BR"/>
        </w:rPr>
        <w:t xml:space="preserve">A estrutura do </w:t>
      </w:r>
      <w:r w:rsidR="00F21F55" w:rsidRPr="002F4565">
        <w:rPr>
          <w:lang w:val="pt-BR"/>
        </w:rPr>
        <w:t>direito à saúde</w:t>
      </w:r>
      <w:r w:rsidRPr="002F4565">
        <w:rPr>
          <w:lang w:val="pt-BR"/>
        </w:rPr>
        <w:t xml:space="preserve"> </w:t>
      </w:r>
      <w:r w:rsidR="00153A40" w:rsidRPr="002F4565">
        <w:rPr>
          <w:lang w:val="pt-BR"/>
        </w:rPr>
        <w:t xml:space="preserve">cristaliza ainda mais esta </w:t>
      </w:r>
      <w:r w:rsidR="00765AF7" w:rsidRPr="002F4565">
        <w:rPr>
          <w:lang w:val="pt-BR"/>
        </w:rPr>
        <w:t>posição</w:t>
      </w:r>
      <w:r w:rsidRPr="002F4565">
        <w:rPr>
          <w:lang w:val="pt-BR"/>
        </w:rPr>
        <w:t xml:space="preserve"> </w:t>
      </w:r>
      <w:r w:rsidR="0049090C" w:rsidRPr="002F4565">
        <w:rPr>
          <w:lang w:val="pt-BR"/>
        </w:rPr>
        <w:t>e</w:t>
      </w:r>
      <w:r w:rsidRPr="002F4565">
        <w:rPr>
          <w:lang w:val="pt-BR"/>
        </w:rPr>
        <w:t xml:space="preserve"> </w:t>
      </w:r>
      <w:r w:rsidR="00153A40" w:rsidRPr="002F4565">
        <w:rPr>
          <w:lang w:val="pt-BR"/>
        </w:rPr>
        <w:t xml:space="preserve">estabelece </w:t>
      </w:r>
      <w:r w:rsidR="006A31E1" w:rsidRPr="002F4565">
        <w:rPr>
          <w:lang w:val="pt-BR"/>
        </w:rPr>
        <w:t>que</w:t>
      </w:r>
      <w:r w:rsidR="00E72375" w:rsidRPr="002F4565">
        <w:rPr>
          <w:lang w:val="pt-BR"/>
        </w:rPr>
        <w:t>,</w:t>
      </w:r>
      <w:r w:rsidRPr="002F4565">
        <w:rPr>
          <w:lang w:val="pt-BR"/>
        </w:rPr>
        <w:t xml:space="preserve"> </w:t>
      </w:r>
      <w:r w:rsidR="00153A40" w:rsidRPr="002F4565">
        <w:rPr>
          <w:lang w:val="pt-BR"/>
        </w:rPr>
        <w:t xml:space="preserve">embora apenas os </w:t>
      </w:r>
      <w:r w:rsidR="006A31E1" w:rsidRPr="002F4565">
        <w:rPr>
          <w:lang w:val="pt-BR"/>
        </w:rPr>
        <w:t>Estado</w:t>
      </w:r>
      <w:r w:rsidR="00E72375" w:rsidRPr="002F4565">
        <w:rPr>
          <w:lang w:val="pt-BR"/>
        </w:rPr>
        <w:t>s</w:t>
      </w:r>
      <w:r w:rsidRPr="002F4565">
        <w:rPr>
          <w:lang w:val="pt-BR"/>
        </w:rPr>
        <w:t xml:space="preserve"> </w:t>
      </w:r>
      <w:r w:rsidR="00153A40" w:rsidRPr="002F4565">
        <w:rPr>
          <w:lang w:val="pt-BR"/>
        </w:rPr>
        <w:t xml:space="preserve">que são membros da Aliança </w:t>
      </w:r>
      <w:r w:rsidR="0040430A" w:rsidRPr="002F4565">
        <w:rPr>
          <w:lang w:val="pt-BR"/>
        </w:rPr>
        <w:t>são</w:t>
      </w:r>
      <w:r w:rsidR="00E72375" w:rsidRPr="002F4565">
        <w:rPr>
          <w:lang w:val="pt-BR"/>
        </w:rPr>
        <w:t>,</w:t>
      </w:r>
      <w:r w:rsidRPr="002F4565">
        <w:rPr>
          <w:lang w:val="pt-BR"/>
        </w:rPr>
        <w:t xml:space="preserve"> </w:t>
      </w:r>
      <w:r w:rsidR="00153A40" w:rsidRPr="002F4565">
        <w:rPr>
          <w:lang w:val="pt-BR"/>
        </w:rPr>
        <w:t>em última análise</w:t>
      </w:r>
      <w:r w:rsidR="00E72375" w:rsidRPr="002F4565">
        <w:rPr>
          <w:lang w:val="pt-BR"/>
        </w:rPr>
        <w:t>,</w:t>
      </w:r>
      <w:r w:rsidR="00153A40" w:rsidRPr="002F4565">
        <w:rPr>
          <w:lang w:val="pt-BR"/>
        </w:rPr>
        <w:t xml:space="preserve"> responsáveis pel</w:t>
      </w:r>
      <w:r w:rsidR="00E72375" w:rsidRPr="002F4565">
        <w:rPr>
          <w:lang w:val="pt-BR"/>
        </w:rPr>
        <w:t xml:space="preserve">a concretização </w:t>
      </w:r>
      <w:r w:rsidR="00153A40" w:rsidRPr="002F4565">
        <w:rPr>
          <w:lang w:val="pt-BR"/>
        </w:rPr>
        <w:t>de tal direito</w:t>
      </w:r>
      <w:r w:rsidRPr="002F4565">
        <w:rPr>
          <w:lang w:val="pt-BR"/>
        </w:rPr>
        <w:t xml:space="preserve">, </w:t>
      </w:r>
      <w:r w:rsidR="00153A40" w:rsidRPr="002F4565">
        <w:rPr>
          <w:lang w:val="pt-BR"/>
        </w:rPr>
        <w:t xml:space="preserve">todos os membros da </w:t>
      </w:r>
      <w:r w:rsidR="002E1AA7" w:rsidRPr="002F4565">
        <w:rPr>
          <w:lang w:val="pt-BR"/>
        </w:rPr>
        <w:t>sociedade</w:t>
      </w:r>
      <w:r w:rsidR="00E72375" w:rsidRPr="002F4565">
        <w:rPr>
          <w:lang w:val="pt-BR"/>
        </w:rPr>
        <w:t>,</w:t>
      </w:r>
      <w:r w:rsidRPr="002F4565">
        <w:rPr>
          <w:lang w:val="pt-BR"/>
        </w:rPr>
        <w:t xml:space="preserve"> </w:t>
      </w:r>
      <w:r w:rsidR="00F21F55" w:rsidRPr="002F4565">
        <w:rPr>
          <w:lang w:val="pt-BR"/>
        </w:rPr>
        <w:t>assim como</w:t>
      </w:r>
      <w:r w:rsidRPr="002F4565">
        <w:rPr>
          <w:lang w:val="pt-BR"/>
        </w:rPr>
        <w:t xml:space="preserve"> </w:t>
      </w:r>
      <w:r w:rsidR="00261A8A" w:rsidRPr="002F4565">
        <w:rPr>
          <w:lang w:val="pt-BR"/>
        </w:rPr>
        <w:t>o</w:t>
      </w:r>
      <w:r w:rsidRPr="002F4565">
        <w:rPr>
          <w:lang w:val="pt-BR"/>
        </w:rPr>
        <w:t xml:space="preserve"> </w:t>
      </w:r>
      <w:r w:rsidR="00153A40" w:rsidRPr="002F4565">
        <w:rPr>
          <w:lang w:val="pt-BR"/>
        </w:rPr>
        <w:t>setor privado</w:t>
      </w:r>
      <w:r w:rsidR="00E72375" w:rsidRPr="002F4565">
        <w:rPr>
          <w:lang w:val="pt-BR"/>
        </w:rPr>
        <w:t>,</w:t>
      </w:r>
      <w:r w:rsidR="00153A40" w:rsidRPr="002F4565">
        <w:rPr>
          <w:lang w:val="pt-BR"/>
        </w:rPr>
        <w:t xml:space="preserve"> têm </w:t>
      </w:r>
      <w:r w:rsidR="00F21F55" w:rsidRPr="002F4565">
        <w:rPr>
          <w:lang w:val="pt-BR"/>
        </w:rPr>
        <w:t>responsabilidade</w:t>
      </w:r>
      <w:r w:rsidRPr="002F4565">
        <w:rPr>
          <w:lang w:val="pt-BR"/>
        </w:rPr>
        <w:t xml:space="preserve"> </w:t>
      </w:r>
      <w:r w:rsidR="00153A40" w:rsidRPr="002F4565">
        <w:rPr>
          <w:lang w:val="pt-BR"/>
        </w:rPr>
        <w:t xml:space="preserve">a respeito do exercício </w:t>
      </w:r>
      <w:r w:rsidR="0049090C" w:rsidRPr="002F4565">
        <w:rPr>
          <w:lang w:val="pt-BR"/>
        </w:rPr>
        <w:t>d</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153A40" w:rsidRPr="002F4565">
        <w:rPr>
          <w:lang w:val="pt-BR"/>
        </w:rPr>
        <w:t xml:space="preserve">No </w:t>
      </w:r>
      <w:r w:rsidRPr="002F4565">
        <w:rPr>
          <w:lang w:val="pt-BR"/>
        </w:rPr>
        <w:t>context</w:t>
      </w:r>
      <w:r w:rsidR="00153A40" w:rsidRPr="002F4565">
        <w:rPr>
          <w:lang w:val="pt-BR"/>
        </w:rPr>
        <w:t>o</w:t>
      </w:r>
      <w:r w:rsidRPr="002F4565">
        <w:rPr>
          <w:lang w:val="pt-BR"/>
        </w:rPr>
        <w:t xml:space="preserve"> </w:t>
      </w:r>
      <w:r w:rsidR="0049090C" w:rsidRPr="002F4565">
        <w:rPr>
          <w:lang w:val="pt-BR"/>
        </w:rPr>
        <w:t>d</w:t>
      </w:r>
      <w:r w:rsidR="00153A40" w:rsidRPr="002F4565">
        <w:rPr>
          <w:lang w:val="pt-BR"/>
        </w:rPr>
        <w:t xml:space="preserve">as </w:t>
      </w:r>
      <w:r w:rsidR="00624BDC" w:rsidRPr="002F4565">
        <w:rPr>
          <w:lang w:val="pt-BR"/>
        </w:rPr>
        <w:t>companhias</w:t>
      </w:r>
      <w:r w:rsidRPr="002F4565">
        <w:rPr>
          <w:lang w:val="pt-BR"/>
        </w:rPr>
        <w:t xml:space="preserve"> </w:t>
      </w:r>
      <w:r w:rsidR="00153A40" w:rsidRPr="002F4565">
        <w:rPr>
          <w:lang w:val="pt-BR"/>
        </w:rPr>
        <w:t xml:space="preserve">comerciais </w:t>
      </w:r>
      <w:r w:rsidR="0049090C" w:rsidRPr="002F4565">
        <w:rPr>
          <w:lang w:val="pt-BR"/>
        </w:rPr>
        <w:t>e</w:t>
      </w:r>
      <w:r w:rsidRPr="002F4565">
        <w:rPr>
          <w:lang w:val="pt-BR"/>
        </w:rPr>
        <w:t xml:space="preserve"> TNCs, </w:t>
      </w:r>
      <w:r w:rsidR="00153A40" w:rsidRPr="002F4565">
        <w:rPr>
          <w:lang w:val="pt-BR"/>
        </w:rPr>
        <w:t xml:space="preserve">várias </w:t>
      </w:r>
      <w:r w:rsidR="002E1AA7" w:rsidRPr="002F4565">
        <w:rPr>
          <w:lang w:val="pt-BR"/>
        </w:rPr>
        <w:t>diretrizes</w:t>
      </w:r>
      <w:r w:rsidRPr="002F4565">
        <w:rPr>
          <w:lang w:val="pt-BR"/>
        </w:rPr>
        <w:t xml:space="preserve"> </w:t>
      </w:r>
      <w:r w:rsidR="00153A40" w:rsidRPr="002F4565">
        <w:rPr>
          <w:lang w:val="pt-BR"/>
        </w:rPr>
        <w:t>foram ad</w:t>
      </w:r>
      <w:r w:rsidR="00E72375" w:rsidRPr="002F4565">
        <w:rPr>
          <w:lang w:val="pt-BR"/>
        </w:rPr>
        <w:t>o</w:t>
      </w:r>
      <w:r w:rsidR="00153A40" w:rsidRPr="002F4565">
        <w:rPr>
          <w:lang w:val="pt-BR"/>
        </w:rPr>
        <w:t xml:space="preserve">tadas </w:t>
      </w:r>
      <w:r w:rsidR="00F21F55" w:rsidRPr="002F4565">
        <w:rPr>
          <w:lang w:val="pt-BR"/>
        </w:rPr>
        <w:t>internacional</w:t>
      </w:r>
      <w:r w:rsidR="00153A40" w:rsidRPr="002F4565">
        <w:rPr>
          <w:lang w:val="pt-BR"/>
        </w:rPr>
        <w:t xml:space="preserve">mente </w:t>
      </w:r>
      <w:r w:rsidR="006A31E1" w:rsidRPr="002F4565">
        <w:rPr>
          <w:lang w:val="pt-BR"/>
        </w:rPr>
        <w:t>que</w:t>
      </w:r>
      <w:r w:rsidRPr="002F4565">
        <w:rPr>
          <w:lang w:val="pt-BR"/>
        </w:rPr>
        <w:t xml:space="preserve"> </w:t>
      </w:r>
      <w:r w:rsidR="00153A40" w:rsidRPr="002F4565">
        <w:rPr>
          <w:lang w:val="pt-BR"/>
        </w:rPr>
        <w:t xml:space="preserve">esclarecem </w:t>
      </w:r>
      <w:r w:rsidR="006A31E1" w:rsidRPr="002F4565">
        <w:rPr>
          <w:lang w:val="pt-BR"/>
        </w:rPr>
        <w:t>que</w:t>
      </w:r>
      <w:r w:rsidRPr="002F4565">
        <w:rPr>
          <w:lang w:val="pt-BR"/>
        </w:rPr>
        <w:t xml:space="preserve"> </w:t>
      </w:r>
      <w:r w:rsidR="00153A40" w:rsidRPr="002F4565">
        <w:rPr>
          <w:lang w:val="pt-BR"/>
        </w:rPr>
        <w:t xml:space="preserve">as </w:t>
      </w:r>
      <w:r w:rsidR="00624BDC" w:rsidRPr="002F4565">
        <w:rPr>
          <w:lang w:val="pt-BR"/>
        </w:rPr>
        <w:t>companhias</w:t>
      </w:r>
      <w:r w:rsidRPr="002F4565">
        <w:rPr>
          <w:lang w:val="pt-BR"/>
        </w:rPr>
        <w:t xml:space="preserve"> </w:t>
      </w:r>
      <w:r w:rsidR="00153A40" w:rsidRPr="002F4565">
        <w:rPr>
          <w:lang w:val="pt-BR"/>
        </w:rPr>
        <w:t xml:space="preserve">comerciais </w:t>
      </w:r>
      <w:r w:rsidR="0049090C" w:rsidRPr="002F4565">
        <w:rPr>
          <w:lang w:val="pt-BR"/>
        </w:rPr>
        <w:t>e</w:t>
      </w:r>
      <w:r w:rsidRPr="002F4565">
        <w:rPr>
          <w:lang w:val="pt-BR"/>
        </w:rPr>
        <w:t xml:space="preserve"> TNCs </w:t>
      </w:r>
      <w:r w:rsidR="00153A40" w:rsidRPr="002F4565">
        <w:rPr>
          <w:lang w:val="pt-BR"/>
        </w:rPr>
        <w:t xml:space="preserve">têm a </w:t>
      </w:r>
      <w:r w:rsidR="00765AF7" w:rsidRPr="002F4565">
        <w:rPr>
          <w:lang w:val="pt-BR"/>
        </w:rPr>
        <w:t>responsa</w:t>
      </w:r>
      <w:r w:rsidR="0049090C" w:rsidRPr="002F4565">
        <w:rPr>
          <w:lang w:val="pt-BR"/>
        </w:rPr>
        <w:t>bilidade</w:t>
      </w:r>
      <w:r w:rsidRPr="002F4565">
        <w:rPr>
          <w:lang w:val="pt-BR"/>
        </w:rPr>
        <w:t xml:space="preserve"> </w:t>
      </w:r>
      <w:r w:rsidR="00153A40" w:rsidRPr="002F4565">
        <w:rPr>
          <w:lang w:val="pt-BR"/>
        </w:rPr>
        <w:t xml:space="preserve">de </w:t>
      </w:r>
      <w:r w:rsidR="00F21F55" w:rsidRPr="002F4565">
        <w:rPr>
          <w:lang w:val="pt-BR"/>
        </w:rPr>
        <w:t>respeit</w:t>
      </w:r>
      <w:r w:rsidR="00153A40" w:rsidRPr="002F4565">
        <w:rPr>
          <w:lang w:val="pt-BR"/>
        </w:rPr>
        <w:t>ar</w:t>
      </w:r>
      <w:r w:rsidRPr="002F4565">
        <w:rPr>
          <w:lang w:val="pt-BR"/>
        </w:rPr>
        <w:t xml:space="preserve"> </w:t>
      </w:r>
      <w:r w:rsidR="000E48EB" w:rsidRPr="002F4565">
        <w:rPr>
          <w:lang w:val="pt-BR"/>
        </w:rPr>
        <w:t>direitos humanos</w:t>
      </w:r>
      <w:r w:rsidRPr="002F4565">
        <w:rPr>
          <w:lang w:val="pt-BR"/>
        </w:rPr>
        <w:t xml:space="preserve">, </w:t>
      </w:r>
      <w:r w:rsidR="00153A40" w:rsidRPr="002F4565">
        <w:rPr>
          <w:lang w:val="pt-BR"/>
        </w:rPr>
        <w:t xml:space="preserve">o que </w:t>
      </w:r>
      <w:r w:rsidRPr="002F4565">
        <w:rPr>
          <w:lang w:val="pt-BR"/>
        </w:rPr>
        <w:t>inclu</w:t>
      </w:r>
      <w:r w:rsidR="00153A40" w:rsidRPr="002F4565">
        <w:rPr>
          <w:lang w:val="pt-BR"/>
        </w:rPr>
        <w:t xml:space="preserve">i </w:t>
      </w:r>
      <w:r w:rsidR="00261A8A" w:rsidRPr="002F4565">
        <w:rPr>
          <w:lang w:val="pt-BR"/>
        </w:rPr>
        <w:t>o</w:t>
      </w:r>
      <w:r w:rsidRPr="002F4565">
        <w:rPr>
          <w:lang w:val="pt-BR"/>
        </w:rPr>
        <w:t xml:space="preserve"> </w:t>
      </w:r>
      <w:r w:rsidR="00F21F55" w:rsidRPr="002F4565">
        <w:rPr>
          <w:lang w:val="pt-BR"/>
        </w:rPr>
        <w:t xml:space="preserve">direito à </w:t>
      </w:r>
      <w:proofErr w:type="gramStart"/>
      <w:r w:rsidR="00F21F55" w:rsidRPr="002F4565">
        <w:rPr>
          <w:lang w:val="pt-BR"/>
        </w:rPr>
        <w:t>saúde</w:t>
      </w:r>
      <w:r w:rsidRPr="002F4565">
        <w:rPr>
          <w:lang w:val="pt-BR"/>
        </w:rPr>
        <w:t>.</w:t>
      </w:r>
      <w:proofErr w:type="gramEnd"/>
      <w:r w:rsidRPr="002F4565">
        <w:rPr>
          <w:vertAlign w:val="superscript"/>
          <w:lang w:val="pt-BR"/>
        </w:rPr>
        <w:t>43</w:t>
      </w:r>
      <w:r w:rsidRPr="002F4565">
        <w:rPr>
          <w:lang w:val="pt-BR"/>
        </w:rPr>
        <w:t xml:space="preserve"> </w:t>
      </w:r>
      <w:r w:rsidR="00153A40" w:rsidRPr="002F4565">
        <w:rPr>
          <w:lang w:val="pt-BR"/>
        </w:rPr>
        <w:t>As</w:t>
      </w:r>
      <w:r w:rsidRPr="002F4565">
        <w:rPr>
          <w:lang w:val="pt-BR"/>
        </w:rPr>
        <w:t xml:space="preserve"> </w:t>
      </w:r>
      <w:r w:rsidR="00F21F55" w:rsidRPr="002F4565">
        <w:rPr>
          <w:lang w:val="pt-BR"/>
        </w:rPr>
        <w:t>responsabilidades</w:t>
      </w:r>
      <w:r w:rsidRPr="002F4565">
        <w:rPr>
          <w:lang w:val="pt-BR"/>
        </w:rPr>
        <w:t xml:space="preserve"> </w:t>
      </w:r>
      <w:r w:rsidR="00153A40" w:rsidRPr="002F4565">
        <w:rPr>
          <w:lang w:val="pt-BR"/>
        </w:rPr>
        <w:t xml:space="preserve">das empresas </w:t>
      </w:r>
      <w:r w:rsidR="0040430A" w:rsidRPr="002F4565">
        <w:rPr>
          <w:lang w:val="pt-BR"/>
        </w:rPr>
        <w:t>são</w:t>
      </w:r>
      <w:r w:rsidRPr="002F4565">
        <w:rPr>
          <w:lang w:val="pt-BR"/>
        </w:rPr>
        <w:t xml:space="preserve"> independent</w:t>
      </w:r>
      <w:r w:rsidR="00153A40" w:rsidRPr="002F4565">
        <w:rPr>
          <w:lang w:val="pt-BR"/>
        </w:rPr>
        <w:t>es</w:t>
      </w:r>
      <w:r w:rsidRPr="002F4565">
        <w:rPr>
          <w:lang w:val="pt-BR"/>
        </w:rPr>
        <w:t xml:space="preserve"> </w:t>
      </w:r>
      <w:r w:rsidR="0049090C" w:rsidRPr="002F4565">
        <w:rPr>
          <w:lang w:val="pt-BR"/>
        </w:rPr>
        <w:t>d</w:t>
      </w:r>
      <w:r w:rsidR="00153A40" w:rsidRPr="002F4565">
        <w:rPr>
          <w:lang w:val="pt-BR"/>
        </w:rPr>
        <w:t>as</w:t>
      </w:r>
      <w:r w:rsidRPr="002F4565">
        <w:rPr>
          <w:lang w:val="pt-BR"/>
        </w:rPr>
        <w:t xml:space="preserve"> </w:t>
      </w:r>
      <w:r w:rsidR="00F21F55" w:rsidRPr="002F4565">
        <w:rPr>
          <w:lang w:val="pt-BR"/>
        </w:rPr>
        <w:t>obrigações</w:t>
      </w:r>
      <w:r w:rsidRPr="002F4565">
        <w:rPr>
          <w:lang w:val="pt-BR"/>
        </w:rPr>
        <w:t xml:space="preserve"> </w:t>
      </w:r>
      <w:r w:rsidR="00153A40" w:rsidRPr="002F4565">
        <w:rPr>
          <w:lang w:val="pt-BR"/>
        </w:rPr>
        <w:t>do Estado de cumprir suas</w:t>
      </w:r>
      <w:r w:rsidRPr="002F4565">
        <w:rPr>
          <w:lang w:val="pt-BR"/>
        </w:rPr>
        <w:t xml:space="preserve"> </w:t>
      </w:r>
      <w:r w:rsidR="00F21F55" w:rsidRPr="002F4565">
        <w:rPr>
          <w:lang w:val="pt-BR"/>
        </w:rPr>
        <w:t>obrigações</w:t>
      </w:r>
      <w:r w:rsidRPr="002F4565">
        <w:rPr>
          <w:lang w:val="pt-BR"/>
        </w:rPr>
        <w:t xml:space="preserve"> </w:t>
      </w:r>
      <w:r w:rsidR="00153A40" w:rsidRPr="002F4565">
        <w:rPr>
          <w:lang w:val="pt-BR"/>
        </w:rPr>
        <w:t xml:space="preserve">em relação aos </w:t>
      </w:r>
      <w:r w:rsidR="000E48EB" w:rsidRPr="002F4565">
        <w:rPr>
          <w:lang w:val="pt-BR"/>
        </w:rPr>
        <w:t>direitos humanos</w:t>
      </w:r>
      <w:r w:rsidRPr="002F4565">
        <w:rPr>
          <w:lang w:val="pt-BR"/>
        </w:rPr>
        <w:t xml:space="preserve"> </w:t>
      </w:r>
      <w:r w:rsidR="0049090C" w:rsidRPr="002F4565">
        <w:rPr>
          <w:lang w:val="pt-BR"/>
        </w:rPr>
        <w:t>e</w:t>
      </w:r>
      <w:r w:rsidRPr="002F4565">
        <w:rPr>
          <w:lang w:val="pt-BR"/>
        </w:rPr>
        <w:t xml:space="preserve"> </w:t>
      </w:r>
      <w:r w:rsidR="00F21F55" w:rsidRPr="002F4565">
        <w:rPr>
          <w:lang w:val="pt-BR"/>
        </w:rPr>
        <w:t>também</w:t>
      </w:r>
      <w:r w:rsidRPr="002F4565">
        <w:rPr>
          <w:lang w:val="pt-BR"/>
        </w:rPr>
        <w:t xml:space="preserve"> </w:t>
      </w:r>
      <w:r w:rsidR="0049090C" w:rsidRPr="002F4565">
        <w:rPr>
          <w:lang w:val="pt-BR"/>
        </w:rPr>
        <w:t>d</w:t>
      </w:r>
      <w:r w:rsidR="00153A40" w:rsidRPr="002F4565">
        <w:rPr>
          <w:lang w:val="pt-BR"/>
        </w:rPr>
        <w:t xml:space="preserve">as </w:t>
      </w:r>
      <w:r w:rsidR="00F21F55" w:rsidRPr="002F4565">
        <w:rPr>
          <w:lang w:val="pt-BR"/>
        </w:rPr>
        <w:t>obrigações</w:t>
      </w:r>
      <w:r w:rsidRPr="002F4565">
        <w:rPr>
          <w:lang w:val="pt-BR"/>
        </w:rPr>
        <w:t xml:space="preserve"> </w:t>
      </w:r>
      <w:r w:rsidR="00153A40" w:rsidRPr="002F4565">
        <w:rPr>
          <w:lang w:val="pt-BR"/>
        </w:rPr>
        <w:t xml:space="preserve">das companhias de cumprir as </w:t>
      </w:r>
      <w:r w:rsidR="00624BDC" w:rsidRPr="002F4565">
        <w:rPr>
          <w:lang w:val="pt-BR"/>
        </w:rPr>
        <w:t>leis</w:t>
      </w:r>
      <w:r w:rsidRPr="002F4565">
        <w:rPr>
          <w:lang w:val="pt-BR"/>
        </w:rPr>
        <w:t xml:space="preserve"> </w:t>
      </w:r>
      <w:r w:rsidR="0049090C" w:rsidRPr="002F4565">
        <w:rPr>
          <w:lang w:val="pt-BR"/>
        </w:rPr>
        <w:t>e</w:t>
      </w:r>
      <w:r w:rsidRPr="002F4565">
        <w:rPr>
          <w:lang w:val="pt-BR"/>
        </w:rPr>
        <w:t xml:space="preserve"> </w:t>
      </w:r>
      <w:r w:rsidR="00F21F55" w:rsidRPr="002F4565">
        <w:rPr>
          <w:lang w:val="pt-BR"/>
        </w:rPr>
        <w:t>regulamentações</w:t>
      </w:r>
      <w:r w:rsidR="00153A40" w:rsidRPr="002F4565">
        <w:rPr>
          <w:lang w:val="pt-BR"/>
        </w:rPr>
        <w:t xml:space="preserve"> nacionais</w:t>
      </w:r>
      <w:r w:rsidRPr="002F4565">
        <w:rPr>
          <w:lang w:val="pt-BR"/>
        </w:rPr>
        <w:t>.</w:t>
      </w:r>
      <w:r w:rsidRPr="002F4565">
        <w:rPr>
          <w:vertAlign w:val="superscript"/>
          <w:lang w:val="pt-BR"/>
        </w:rPr>
        <w:t>44</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29. </w:t>
      </w:r>
      <w:r w:rsidR="00153A40" w:rsidRPr="002F4565">
        <w:rPr>
          <w:lang w:val="pt-BR"/>
        </w:rPr>
        <w:t>A</w:t>
      </w:r>
      <w:r w:rsidRPr="002F4565">
        <w:rPr>
          <w:lang w:val="pt-BR"/>
        </w:rPr>
        <w:t xml:space="preserve"> </w:t>
      </w:r>
      <w:r w:rsidR="00765AF7" w:rsidRPr="002F4565">
        <w:rPr>
          <w:lang w:val="pt-BR"/>
        </w:rPr>
        <w:t>responsa</w:t>
      </w:r>
      <w:r w:rsidR="0049090C" w:rsidRPr="002F4565">
        <w:rPr>
          <w:lang w:val="pt-BR"/>
        </w:rPr>
        <w:t>bilidade</w:t>
      </w:r>
      <w:r w:rsidRPr="002F4565">
        <w:rPr>
          <w:lang w:val="pt-BR"/>
        </w:rPr>
        <w:t xml:space="preserve"> </w:t>
      </w:r>
      <w:r w:rsidR="00153A40" w:rsidRPr="002F4565">
        <w:rPr>
          <w:lang w:val="pt-BR"/>
        </w:rPr>
        <w:t>de</w:t>
      </w:r>
      <w:r w:rsidRPr="002F4565">
        <w:rPr>
          <w:lang w:val="pt-BR"/>
        </w:rPr>
        <w:t xml:space="preserve"> </w:t>
      </w:r>
      <w:r w:rsidR="00F21F55" w:rsidRPr="002F4565">
        <w:rPr>
          <w:lang w:val="pt-BR"/>
        </w:rPr>
        <w:t>respeit</w:t>
      </w:r>
      <w:r w:rsidR="00153A40" w:rsidRPr="002F4565">
        <w:rPr>
          <w:lang w:val="pt-BR"/>
        </w:rPr>
        <w:t>ar</w:t>
      </w:r>
      <w:r w:rsidRPr="002F4565">
        <w:rPr>
          <w:lang w:val="pt-BR"/>
        </w:rPr>
        <w:t xml:space="preserve">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153A40" w:rsidRPr="002F4565">
        <w:rPr>
          <w:lang w:val="pt-BR"/>
        </w:rPr>
        <w:t>exige que a</w:t>
      </w:r>
      <w:r w:rsidRPr="002F4565">
        <w:rPr>
          <w:lang w:val="pt-BR"/>
        </w:rPr>
        <w:t xml:space="preserve"> </w:t>
      </w:r>
      <w:r w:rsidR="00F21F55" w:rsidRPr="002F4565">
        <w:rPr>
          <w:lang w:val="pt-BR"/>
        </w:rPr>
        <w:t>indústria de alimentos</w:t>
      </w:r>
      <w:r w:rsidRPr="002F4565">
        <w:rPr>
          <w:lang w:val="pt-BR"/>
        </w:rPr>
        <w:t xml:space="preserve"> </w:t>
      </w:r>
      <w:r w:rsidR="00153A40" w:rsidRPr="002F4565">
        <w:rPr>
          <w:lang w:val="pt-BR"/>
        </w:rPr>
        <w:t xml:space="preserve">se abstenha de se envolver </w:t>
      </w:r>
      <w:r w:rsidR="00FB4DE4" w:rsidRPr="002F4565">
        <w:rPr>
          <w:lang w:val="pt-BR"/>
        </w:rPr>
        <w:t>em</w:t>
      </w:r>
      <w:r w:rsidRPr="002F4565">
        <w:rPr>
          <w:lang w:val="pt-BR"/>
        </w:rPr>
        <w:t xml:space="preserve"> </w:t>
      </w:r>
      <w:r w:rsidR="00624BDC" w:rsidRPr="002F4565">
        <w:rPr>
          <w:lang w:val="pt-BR"/>
        </w:rPr>
        <w:t>atividades</w:t>
      </w:r>
      <w:r w:rsidRPr="002F4565">
        <w:rPr>
          <w:lang w:val="pt-BR"/>
        </w:rPr>
        <w:t xml:space="preserve"> </w:t>
      </w:r>
      <w:r w:rsidR="006A31E1" w:rsidRPr="002F4565">
        <w:rPr>
          <w:lang w:val="pt-BR"/>
        </w:rPr>
        <w:t>que</w:t>
      </w:r>
      <w:r w:rsidRPr="002F4565">
        <w:rPr>
          <w:lang w:val="pt-BR"/>
        </w:rPr>
        <w:t xml:space="preserve"> </w:t>
      </w:r>
      <w:r w:rsidR="00153A40" w:rsidRPr="002F4565">
        <w:rPr>
          <w:lang w:val="pt-BR"/>
        </w:rPr>
        <w:t xml:space="preserve">prejudiquem </w:t>
      </w:r>
      <w:r w:rsidR="00261A8A" w:rsidRPr="002F4565">
        <w:rPr>
          <w:lang w:val="pt-BR"/>
        </w:rPr>
        <w:t>o</w:t>
      </w:r>
      <w:r w:rsidRPr="002F4565">
        <w:rPr>
          <w:lang w:val="pt-BR"/>
        </w:rPr>
        <w:t xml:space="preserve"> </w:t>
      </w:r>
      <w:r w:rsidR="0049090C" w:rsidRPr="002F4565">
        <w:rPr>
          <w:lang w:val="pt-BR"/>
        </w:rPr>
        <w:t>direito</w:t>
      </w:r>
      <w:r w:rsidRPr="002F4565">
        <w:rPr>
          <w:lang w:val="pt-BR"/>
        </w:rPr>
        <w:t xml:space="preserve"> </w:t>
      </w:r>
      <w:r w:rsidR="0049090C" w:rsidRPr="002F4565">
        <w:rPr>
          <w:lang w:val="pt-BR"/>
        </w:rPr>
        <w:t>de</w:t>
      </w:r>
      <w:r w:rsidRPr="002F4565">
        <w:rPr>
          <w:lang w:val="pt-BR"/>
        </w:rPr>
        <w:t xml:space="preserve"> </w:t>
      </w:r>
      <w:r w:rsidR="006A31E1" w:rsidRPr="002F4565">
        <w:rPr>
          <w:lang w:val="pt-BR"/>
        </w:rPr>
        <w:t>pessoas</w:t>
      </w:r>
      <w:r w:rsidRPr="002F4565">
        <w:rPr>
          <w:lang w:val="pt-BR"/>
        </w:rPr>
        <w:t xml:space="preserve"> </w:t>
      </w:r>
      <w:r w:rsidR="00153A40" w:rsidRPr="002F4565">
        <w:rPr>
          <w:lang w:val="pt-BR"/>
        </w:rPr>
        <w:t xml:space="preserve">aos mais elevados </w:t>
      </w:r>
      <w:r w:rsidR="00C47496" w:rsidRPr="002F4565">
        <w:rPr>
          <w:lang w:val="pt-BR"/>
        </w:rPr>
        <w:t>padrões</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saúde</w:t>
      </w:r>
      <w:r w:rsidRPr="002F4565">
        <w:rPr>
          <w:lang w:val="pt-BR"/>
        </w:rPr>
        <w:t xml:space="preserve">. </w:t>
      </w:r>
      <w:r w:rsidR="00153A40" w:rsidRPr="002F4565">
        <w:rPr>
          <w:lang w:val="pt-BR"/>
        </w:rPr>
        <w:t xml:space="preserve">Nos casos em que os </w:t>
      </w:r>
      <w:r w:rsidR="0049090C" w:rsidRPr="002F4565">
        <w:rPr>
          <w:lang w:val="pt-BR"/>
        </w:rPr>
        <w:t>Estados</w:t>
      </w:r>
      <w:r w:rsidRPr="002F4565">
        <w:rPr>
          <w:lang w:val="pt-BR"/>
        </w:rPr>
        <w:t xml:space="preserve"> </w:t>
      </w:r>
      <w:r w:rsidR="00153A40" w:rsidRPr="002F4565">
        <w:rPr>
          <w:lang w:val="pt-BR"/>
        </w:rPr>
        <w:t xml:space="preserve">promulgaram </w:t>
      </w:r>
      <w:r w:rsidR="00E72375" w:rsidRPr="002F4565">
        <w:rPr>
          <w:lang w:val="pt-BR"/>
        </w:rPr>
        <w:t xml:space="preserve">leis </w:t>
      </w:r>
      <w:r w:rsidR="00153A40" w:rsidRPr="002F4565">
        <w:rPr>
          <w:lang w:val="pt-BR"/>
        </w:rPr>
        <w:t xml:space="preserve">como parte das </w:t>
      </w:r>
      <w:r w:rsidR="0049090C" w:rsidRPr="002F4565">
        <w:rPr>
          <w:lang w:val="pt-BR"/>
        </w:rPr>
        <w:t>políticas</w:t>
      </w:r>
      <w:r w:rsidRPr="002F4565">
        <w:rPr>
          <w:lang w:val="pt-BR"/>
        </w:rPr>
        <w:t xml:space="preserve"> </w:t>
      </w:r>
      <w:r w:rsidR="00153A40" w:rsidRPr="002F4565">
        <w:rPr>
          <w:lang w:val="pt-BR"/>
        </w:rPr>
        <w:t xml:space="preserve">nacionais de saúde para coibir o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49090C" w:rsidRPr="002F4565">
        <w:rPr>
          <w:lang w:val="pt-BR"/>
        </w:rPr>
        <w:t>e</w:t>
      </w:r>
      <w:r w:rsidRPr="002F4565">
        <w:rPr>
          <w:lang w:val="pt-BR"/>
        </w:rPr>
        <w:t xml:space="preserve"> promo</w:t>
      </w:r>
      <w:r w:rsidR="00153A40" w:rsidRPr="002F4565">
        <w:rPr>
          <w:lang w:val="pt-BR"/>
        </w:rPr>
        <w:t>ver</w:t>
      </w:r>
      <w:r w:rsidRPr="002F4565">
        <w:rPr>
          <w:lang w:val="pt-BR"/>
        </w:rPr>
        <w:t xml:space="preserve"> </w:t>
      </w:r>
      <w:r w:rsidR="00F21F55" w:rsidRPr="002F4565">
        <w:rPr>
          <w:lang w:val="pt-BR"/>
        </w:rPr>
        <w:t>opções</w:t>
      </w:r>
      <w:r w:rsidR="00153A40" w:rsidRPr="002F4565">
        <w:rPr>
          <w:lang w:val="pt-BR"/>
        </w:rPr>
        <w:t xml:space="preserve"> mais saudáveis</w:t>
      </w:r>
      <w:r w:rsidRPr="002F4565">
        <w:rPr>
          <w:lang w:val="pt-BR"/>
        </w:rPr>
        <w:t xml:space="preserve">, </w:t>
      </w:r>
      <w:r w:rsidR="00153A40"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153A40" w:rsidRPr="002F4565">
        <w:rPr>
          <w:lang w:val="pt-BR"/>
        </w:rPr>
        <w:t xml:space="preserve">tem a </w:t>
      </w:r>
      <w:r w:rsidR="00765AF7" w:rsidRPr="002F4565">
        <w:rPr>
          <w:lang w:val="pt-BR"/>
        </w:rPr>
        <w:t>responsa</w:t>
      </w:r>
      <w:r w:rsidR="0049090C" w:rsidRPr="002F4565">
        <w:rPr>
          <w:lang w:val="pt-BR"/>
        </w:rPr>
        <w:t>bilidade</w:t>
      </w:r>
      <w:r w:rsidRPr="002F4565">
        <w:rPr>
          <w:lang w:val="pt-BR"/>
        </w:rPr>
        <w:t xml:space="preserve"> </w:t>
      </w:r>
      <w:r w:rsidR="00153A40" w:rsidRPr="002F4565">
        <w:rPr>
          <w:lang w:val="pt-BR"/>
        </w:rPr>
        <w:t xml:space="preserve">de cumprir tais </w:t>
      </w:r>
      <w:r w:rsidR="00624BDC" w:rsidRPr="002F4565">
        <w:rPr>
          <w:lang w:val="pt-BR"/>
        </w:rPr>
        <w:t>leis</w:t>
      </w:r>
      <w:r w:rsidRPr="002F4565">
        <w:rPr>
          <w:lang w:val="pt-BR"/>
        </w:rPr>
        <w:t xml:space="preserve"> </w:t>
      </w:r>
      <w:r w:rsidR="0049090C" w:rsidRPr="002F4565">
        <w:rPr>
          <w:lang w:val="pt-BR"/>
        </w:rPr>
        <w:t>e</w:t>
      </w:r>
      <w:r w:rsidRPr="002F4565">
        <w:rPr>
          <w:lang w:val="pt-BR"/>
        </w:rPr>
        <w:t xml:space="preserve"> desist</w:t>
      </w:r>
      <w:r w:rsidR="00153A40" w:rsidRPr="002F4565">
        <w:rPr>
          <w:lang w:val="pt-BR"/>
        </w:rPr>
        <w:t xml:space="preserve">ir de empreender </w:t>
      </w:r>
      <w:r w:rsidR="00624BDC" w:rsidRPr="002F4565">
        <w:rPr>
          <w:lang w:val="pt-BR"/>
        </w:rPr>
        <w:t>atividades</w:t>
      </w:r>
      <w:r w:rsidRPr="002F4565">
        <w:rPr>
          <w:lang w:val="pt-BR"/>
        </w:rPr>
        <w:t xml:space="preserve"> </w:t>
      </w:r>
      <w:r w:rsidR="006A31E1" w:rsidRPr="002F4565">
        <w:rPr>
          <w:lang w:val="pt-BR"/>
        </w:rPr>
        <w:t>que</w:t>
      </w:r>
      <w:r w:rsidRPr="002F4565">
        <w:rPr>
          <w:lang w:val="pt-BR"/>
        </w:rPr>
        <w:t xml:space="preserve"> </w:t>
      </w:r>
      <w:r w:rsidR="00153A40" w:rsidRPr="002F4565">
        <w:rPr>
          <w:lang w:val="pt-BR"/>
        </w:rPr>
        <w:t xml:space="preserve">contrariem </w:t>
      </w:r>
      <w:r w:rsidR="0040430A" w:rsidRPr="002F4565">
        <w:rPr>
          <w:lang w:val="pt-BR"/>
        </w:rPr>
        <w:t>est</w:t>
      </w:r>
      <w:r w:rsidR="00153A40" w:rsidRPr="002F4565">
        <w:rPr>
          <w:lang w:val="pt-BR"/>
        </w:rPr>
        <w:t>a</w:t>
      </w:r>
      <w:r w:rsidR="0040430A" w:rsidRPr="002F4565">
        <w:rPr>
          <w:lang w:val="pt-BR"/>
        </w:rPr>
        <w:t>s</w:t>
      </w:r>
      <w:r w:rsidRPr="002F4565">
        <w:rPr>
          <w:lang w:val="pt-BR"/>
        </w:rPr>
        <w:t xml:space="preserve"> </w:t>
      </w:r>
      <w:r w:rsidR="0049090C" w:rsidRPr="002F4565">
        <w:rPr>
          <w:lang w:val="pt-BR"/>
        </w:rPr>
        <w:t>políticas</w:t>
      </w:r>
      <w:r w:rsidRPr="002F4565">
        <w:rPr>
          <w:lang w:val="pt-BR"/>
        </w:rPr>
        <w:t xml:space="preserve">. </w:t>
      </w:r>
      <w:r w:rsidR="00153A40" w:rsidRPr="002F4565">
        <w:rPr>
          <w:lang w:val="pt-BR"/>
        </w:rPr>
        <w:t>D</w:t>
      </w:r>
      <w:r w:rsidR="002E1AA7" w:rsidRPr="002F4565">
        <w:rPr>
          <w:lang w:val="pt-BR"/>
        </w:rPr>
        <w:t>evem</w:t>
      </w:r>
      <w:r w:rsidR="00153A40" w:rsidRPr="002F4565">
        <w:rPr>
          <w:lang w:val="pt-BR"/>
        </w:rPr>
        <w:t xml:space="preserve"> tomar medidas para prevenir</w:t>
      </w:r>
      <w:r w:rsidRPr="002F4565">
        <w:rPr>
          <w:lang w:val="pt-BR"/>
        </w:rPr>
        <w:t>, mitiga</w:t>
      </w:r>
      <w:r w:rsidR="00153A40" w:rsidRPr="002F4565">
        <w:rPr>
          <w:lang w:val="pt-BR"/>
        </w:rPr>
        <w:t>r</w:t>
      </w:r>
      <w:r w:rsidRPr="002F4565">
        <w:rPr>
          <w:lang w:val="pt-BR"/>
        </w:rPr>
        <w:t xml:space="preserve"> </w:t>
      </w:r>
      <w:r w:rsidR="0049090C" w:rsidRPr="002F4565">
        <w:rPr>
          <w:lang w:val="pt-BR"/>
        </w:rPr>
        <w:t>e</w:t>
      </w:r>
      <w:r w:rsidRPr="002F4565">
        <w:rPr>
          <w:lang w:val="pt-BR"/>
        </w:rPr>
        <w:t xml:space="preserve"> remed</w:t>
      </w:r>
      <w:r w:rsidR="00153A40" w:rsidRPr="002F4565">
        <w:rPr>
          <w:lang w:val="pt-BR"/>
        </w:rPr>
        <w:t>iar i</w:t>
      </w:r>
      <w:r w:rsidR="00802E44" w:rsidRPr="002F4565">
        <w:rPr>
          <w:lang w:val="pt-BR"/>
        </w:rPr>
        <w:t>mpacto</w:t>
      </w:r>
      <w:r w:rsidRPr="002F4565">
        <w:rPr>
          <w:lang w:val="pt-BR"/>
        </w:rPr>
        <w:t xml:space="preserve">s </w:t>
      </w:r>
      <w:r w:rsidR="00153A40" w:rsidRPr="002F4565">
        <w:rPr>
          <w:lang w:val="pt-BR"/>
        </w:rPr>
        <w:t xml:space="preserve">adversos </w:t>
      </w:r>
      <w:r w:rsidR="0049090C" w:rsidRPr="002F4565">
        <w:rPr>
          <w:lang w:val="pt-BR"/>
        </w:rPr>
        <w:t>de</w:t>
      </w:r>
      <w:r w:rsidRPr="002F4565">
        <w:rPr>
          <w:lang w:val="pt-BR"/>
        </w:rPr>
        <w:t xml:space="preserve"> </w:t>
      </w:r>
      <w:r w:rsidR="00E72375" w:rsidRPr="002F4565">
        <w:rPr>
          <w:lang w:val="pt-BR"/>
        </w:rPr>
        <w:t>seus atos</w:t>
      </w:r>
      <w:r w:rsidRPr="002F4565">
        <w:rPr>
          <w:lang w:val="pt-BR"/>
        </w:rPr>
        <w:t xml:space="preserve">. </w:t>
      </w:r>
      <w:r w:rsidR="007D3BE3" w:rsidRPr="002F4565">
        <w:rPr>
          <w:lang w:val="pt-BR"/>
        </w:rPr>
        <w:t>Por exemplo</w:t>
      </w:r>
      <w:r w:rsidRPr="002F4565">
        <w:rPr>
          <w:lang w:val="pt-BR"/>
        </w:rPr>
        <w:t xml:space="preserve">, </w:t>
      </w:r>
      <w:r w:rsidR="00153A40" w:rsidRPr="002F4565">
        <w:rPr>
          <w:lang w:val="pt-BR"/>
        </w:rPr>
        <w:t>à luz do i</w:t>
      </w:r>
      <w:r w:rsidR="00802E44" w:rsidRPr="002F4565">
        <w:rPr>
          <w:lang w:val="pt-BR"/>
        </w:rPr>
        <w:t>mpacto</w:t>
      </w:r>
      <w:r w:rsidRPr="002F4565">
        <w:rPr>
          <w:lang w:val="pt-BR"/>
        </w:rPr>
        <w:t xml:space="preserve"> </w:t>
      </w:r>
      <w:r w:rsidR="00153A40" w:rsidRPr="002F4565">
        <w:rPr>
          <w:lang w:val="pt-BR"/>
        </w:rPr>
        <w:t xml:space="preserve">negativo </w:t>
      </w:r>
      <w:r w:rsidR="00BC3868" w:rsidRPr="002F4565">
        <w:rPr>
          <w:lang w:val="pt-BR"/>
        </w:rPr>
        <w:t>da publicidade</w:t>
      </w:r>
      <w:r w:rsidR="007E67D2" w:rsidRPr="002F4565">
        <w:rPr>
          <w:lang w:val="pt-BR"/>
        </w:rPr>
        <w:t xml:space="preserve"> de alimentos</w:t>
      </w:r>
      <w:r w:rsidRPr="002F4565">
        <w:rPr>
          <w:lang w:val="pt-BR"/>
        </w:rPr>
        <w:t xml:space="preserve"> </w:t>
      </w:r>
      <w:r w:rsidR="0049090C" w:rsidRPr="002F4565">
        <w:rPr>
          <w:lang w:val="pt-BR"/>
        </w:rPr>
        <w:t>e</w:t>
      </w:r>
      <w:r w:rsidRPr="002F4565">
        <w:rPr>
          <w:lang w:val="pt-BR"/>
        </w:rPr>
        <w:t xml:space="preserve"> </w:t>
      </w:r>
      <w:r w:rsidR="00624BDC" w:rsidRPr="002F4565">
        <w:rPr>
          <w:lang w:val="pt-BR"/>
        </w:rPr>
        <w:t>atividades</w:t>
      </w:r>
      <w:r w:rsidRPr="002F4565">
        <w:rPr>
          <w:lang w:val="pt-BR"/>
        </w:rPr>
        <w:t xml:space="preserve"> </w:t>
      </w:r>
      <w:r w:rsidR="00153A40" w:rsidRPr="002F4565">
        <w:rPr>
          <w:lang w:val="pt-BR"/>
        </w:rPr>
        <w:t xml:space="preserve">de promoção sobre </w:t>
      </w:r>
      <w:r w:rsidR="0040430A" w:rsidRPr="002F4565">
        <w:rPr>
          <w:lang w:val="pt-BR"/>
        </w:rPr>
        <w:t>dieta</w:t>
      </w:r>
      <w:r w:rsidR="00153A40" w:rsidRPr="002F4565">
        <w:rPr>
          <w:lang w:val="pt-BR"/>
        </w:rPr>
        <w:t xml:space="preserve"> </w:t>
      </w:r>
      <w:r w:rsidR="00E72375" w:rsidRPr="002F4565">
        <w:rPr>
          <w:lang w:val="pt-BR"/>
        </w:rPr>
        <w:t>infantil</w:t>
      </w:r>
      <w:r w:rsidRPr="002F4565">
        <w:rPr>
          <w:lang w:val="pt-BR"/>
        </w:rPr>
        <w:t xml:space="preserve">, </w:t>
      </w:r>
      <w:proofErr w:type="gramStart"/>
      <w:r w:rsidR="00153A40" w:rsidRPr="002F4565">
        <w:rPr>
          <w:lang w:val="pt-BR"/>
        </w:rPr>
        <w:t>a</w:t>
      </w:r>
      <w:proofErr w:type="gramEnd"/>
      <w:r w:rsidRPr="002F4565">
        <w:rPr>
          <w:lang w:val="pt-BR"/>
        </w:rPr>
        <w:t xml:space="preserve"> </w:t>
      </w:r>
      <w:r w:rsidR="00F21F55" w:rsidRPr="002F4565">
        <w:rPr>
          <w:lang w:val="pt-BR"/>
        </w:rPr>
        <w:t>indústria de alimentos</w:t>
      </w:r>
      <w:r w:rsidRPr="002F4565">
        <w:rPr>
          <w:lang w:val="pt-BR"/>
        </w:rPr>
        <w:t xml:space="preserve"> </w:t>
      </w:r>
      <w:r w:rsidR="00153A40" w:rsidRPr="002F4565">
        <w:rPr>
          <w:lang w:val="pt-BR"/>
        </w:rPr>
        <w:t xml:space="preserve">tem a </w:t>
      </w:r>
      <w:r w:rsidR="00765AF7" w:rsidRPr="002F4565">
        <w:rPr>
          <w:lang w:val="pt-BR"/>
        </w:rPr>
        <w:t>responsa</w:t>
      </w:r>
      <w:r w:rsidR="0049090C" w:rsidRPr="002F4565">
        <w:rPr>
          <w:lang w:val="pt-BR"/>
        </w:rPr>
        <w:t>bilidade</w:t>
      </w:r>
      <w:r w:rsidRPr="002F4565">
        <w:rPr>
          <w:lang w:val="pt-BR"/>
        </w:rPr>
        <w:t xml:space="preserve"> </w:t>
      </w:r>
      <w:r w:rsidR="00153A40" w:rsidRPr="002F4565">
        <w:rPr>
          <w:lang w:val="pt-BR"/>
        </w:rPr>
        <w:t xml:space="preserve">de se abster de anunciar </w:t>
      </w:r>
      <w:r w:rsidR="00B5729E" w:rsidRPr="002F4565">
        <w:rPr>
          <w:lang w:val="pt-BR"/>
        </w:rPr>
        <w:t>produto</w:t>
      </w:r>
      <w:r w:rsidRPr="002F4565">
        <w:rPr>
          <w:lang w:val="pt-BR"/>
        </w:rPr>
        <w:t xml:space="preserve">s </w:t>
      </w:r>
      <w:r w:rsidR="00153A40" w:rsidRPr="002F4565">
        <w:rPr>
          <w:lang w:val="pt-BR"/>
        </w:rPr>
        <w:t xml:space="preserve">não saudáveis para </w:t>
      </w:r>
      <w:r w:rsidR="00802E44" w:rsidRPr="002F4565">
        <w:rPr>
          <w:lang w:val="pt-BR"/>
        </w:rPr>
        <w:t>crianças</w:t>
      </w:r>
      <w:r w:rsidR="00E72375" w:rsidRPr="002F4565">
        <w:rPr>
          <w:lang w:val="pt-BR"/>
        </w:rPr>
        <w:t>,</w:t>
      </w:r>
      <w:r w:rsidRPr="002F4565">
        <w:rPr>
          <w:lang w:val="pt-BR"/>
        </w:rPr>
        <w:t xml:space="preserve"> </w:t>
      </w:r>
      <w:r w:rsidR="00153A40" w:rsidRPr="002F4565">
        <w:rPr>
          <w:lang w:val="pt-BR"/>
        </w:rPr>
        <w:t>de acordo</w:t>
      </w:r>
      <w:r w:rsidRPr="002F4565">
        <w:rPr>
          <w:lang w:val="pt-BR"/>
        </w:rPr>
        <w:t xml:space="preserve"> </w:t>
      </w:r>
      <w:r w:rsidR="00F21F55" w:rsidRPr="002F4565">
        <w:rPr>
          <w:lang w:val="pt-BR"/>
        </w:rPr>
        <w:t>com</w:t>
      </w:r>
      <w:r w:rsidRPr="002F4565">
        <w:rPr>
          <w:lang w:val="pt-BR"/>
        </w:rPr>
        <w:t xml:space="preserve"> </w:t>
      </w:r>
      <w:r w:rsidR="00153A40" w:rsidRPr="002F4565">
        <w:rPr>
          <w:lang w:val="pt-BR"/>
        </w:rPr>
        <w:t xml:space="preserve">as </w:t>
      </w:r>
      <w:r w:rsidR="00624BDC" w:rsidRPr="002F4565">
        <w:rPr>
          <w:lang w:val="pt-BR"/>
        </w:rPr>
        <w:t>leis</w:t>
      </w:r>
      <w:r w:rsidRPr="002F4565">
        <w:rPr>
          <w:lang w:val="pt-BR"/>
        </w:rPr>
        <w:t xml:space="preserve"> </w:t>
      </w:r>
      <w:r w:rsidR="0049090C" w:rsidRPr="002F4565">
        <w:rPr>
          <w:lang w:val="pt-BR"/>
        </w:rPr>
        <w:t>e</w:t>
      </w:r>
      <w:r w:rsidRPr="002F4565">
        <w:rPr>
          <w:lang w:val="pt-BR"/>
        </w:rPr>
        <w:t xml:space="preserve"> </w:t>
      </w:r>
      <w:r w:rsidR="00F21F55" w:rsidRPr="002F4565">
        <w:rPr>
          <w:lang w:val="pt-BR"/>
        </w:rPr>
        <w:t>regulament</w:t>
      </w:r>
      <w:r w:rsidR="00E72375" w:rsidRPr="002F4565">
        <w:rPr>
          <w:lang w:val="pt-BR"/>
        </w:rPr>
        <w:t xml:space="preserve">os </w:t>
      </w:r>
      <w:r w:rsidR="00153A40" w:rsidRPr="002F4565">
        <w:rPr>
          <w:lang w:val="pt-BR"/>
        </w:rPr>
        <w:t>nacionais</w:t>
      </w:r>
      <w:r w:rsidRPr="002F4565">
        <w:rPr>
          <w:lang w:val="pt-BR"/>
        </w:rPr>
        <w:t xml:space="preserve">. </w:t>
      </w:r>
      <w:r w:rsidR="00153A40" w:rsidRPr="002F4565">
        <w:rPr>
          <w:lang w:val="pt-BR"/>
        </w:rPr>
        <w:t xml:space="preserve">O não exercício de tal restrição segundo a legislação doméstica </w:t>
      </w:r>
      <w:r w:rsidR="000E48EB" w:rsidRPr="002F4565">
        <w:rPr>
          <w:lang w:val="pt-BR"/>
        </w:rPr>
        <w:t>pode</w:t>
      </w:r>
      <w:r w:rsidR="00153A40" w:rsidRPr="002F4565">
        <w:rPr>
          <w:lang w:val="pt-BR"/>
        </w:rPr>
        <w:t xml:space="preserve"> causar </w:t>
      </w:r>
      <w:r w:rsidR="005A25F5" w:rsidRPr="002F4565">
        <w:rPr>
          <w:lang w:val="pt-BR"/>
        </w:rPr>
        <w:t>não</w:t>
      </w:r>
      <w:r w:rsidRPr="002F4565">
        <w:rPr>
          <w:lang w:val="pt-BR"/>
        </w:rPr>
        <w:t xml:space="preserve"> </w:t>
      </w:r>
      <w:r w:rsidR="00153A40" w:rsidRPr="002F4565">
        <w:rPr>
          <w:lang w:val="pt-BR"/>
        </w:rPr>
        <w:t xml:space="preserve">apenas a </w:t>
      </w:r>
      <w:r w:rsidRPr="002F4565">
        <w:rPr>
          <w:lang w:val="pt-BR"/>
        </w:rPr>
        <w:t>viol</w:t>
      </w:r>
      <w:r w:rsidR="00F21F55" w:rsidRPr="002F4565">
        <w:rPr>
          <w:lang w:val="pt-BR"/>
        </w:rPr>
        <w:t>ação</w:t>
      </w:r>
      <w:r w:rsidRPr="002F4565">
        <w:rPr>
          <w:lang w:val="pt-BR"/>
        </w:rPr>
        <w:t xml:space="preserve"> </w:t>
      </w:r>
      <w:r w:rsidR="0049090C" w:rsidRPr="002F4565">
        <w:rPr>
          <w:lang w:val="pt-BR"/>
        </w:rPr>
        <w:t>d</w:t>
      </w:r>
      <w:r w:rsidR="00153A40" w:rsidRPr="002F4565">
        <w:rPr>
          <w:lang w:val="pt-BR"/>
        </w:rPr>
        <w:t>a lei</w:t>
      </w:r>
      <w:r w:rsidRPr="002F4565">
        <w:rPr>
          <w:lang w:val="pt-BR"/>
        </w:rPr>
        <w:t xml:space="preserve">, </w:t>
      </w:r>
      <w:r w:rsidR="0040430A" w:rsidRPr="002F4565">
        <w:rPr>
          <w:lang w:val="pt-BR"/>
        </w:rPr>
        <w:t>mas</w:t>
      </w:r>
      <w:r w:rsidRPr="002F4565">
        <w:rPr>
          <w:lang w:val="pt-BR"/>
        </w:rPr>
        <w:t xml:space="preserve"> </w:t>
      </w:r>
      <w:r w:rsidR="00F21F55" w:rsidRPr="002F4565">
        <w:rPr>
          <w:lang w:val="pt-BR"/>
        </w:rPr>
        <w:t>também</w:t>
      </w:r>
      <w:r w:rsidRPr="002F4565">
        <w:rPr>
          <w:lang w:val="pt-BR"/>
        </w:rPr>
        <w:t xml:space="preserve"> </w:t>
      </w:r>
      <w:r w:rsidR="0049090C" w:rsidRPr="002F4565">
        <w:rPr>
          <w:lang w:val="pt-BR"/>
        </w:rPr>
        <w:t>d</w:t>
      </w:r>
      <w:r w:rsidR="00261A8A" w:rsidRPr="002F4565">
        <w:rPr>
          <w:lang w:val="pt-BR"/>
        </w:rPr>
        <w:t>o</w:t>
      </w:r>
      <w:r w:rsidRPr="002F4565">
        <w:rPr>
          <w:lang w:val="pt-BR"/>
        </w:rPr>
        <w:t xml:space="preserve"> </w:t>
      </w:r>
      <w:r w:rsidR="00F21F55" w:rsidRPr="002F4565">
        <w:rPr>
          <w:lang w:val="pt-BR"/>
        </w:rPr>
        <w:t>direito à saúde</w:t>
      </w:r>
      <w:r w:rsidRPr="002F4565">
        <w:rPr>
          <w:lang w:val="pt-BR"/>
        </w:rPr>
        <w:t>.</w:t>
      </w:r>
    </w:p>
    <w:p w:rsidR="00115B91" w:rsidRPr="002F4565" w:rsidRDefault="00153A40" w:rsidP="0051636A">
      <w:pPr>
        <w:spacing w:before="120" w:after="0" w:line="240" w:lineRule="auto"/>
        <w:rPr>
          <w:lang w:val="pt-BR"/>
        </w:rPr>
      </w:pPr>
      <w:r w:rsidRPr="002F4565">
        <w:rPr>
          <w:lang w:val="pt-BR"/>
        </w:rPr>
        <w:t>De maneira semelhante</w:t>
      </w:r>
      <w:r w:rsidR="00115B91" w:rsidRPr="002F4565">
        <w:rPr>
          <w:lang w:val="pt-BR"/>
        </w:rPr>
        <w:t xml:space="preserve">, </w:t>
      </w:r>
      <w:r w:rsidRPr="002F4565">
        <w:rPr>
          <w:lang w:val="pt-BR"/>
        </w:rPr>
        <w:t>a</w:t>
      </w:r>
      <w:r w:rsidR="00115B91" w:rsidRPr="002F4565">
        <w:rPr>
          <w:lang w:val="pt-BR"/>
        </w:rPr>
        <w:t xml:space="preserve"> </w:t>
      </w:r>
      <w:r w:rsidR="00F21F55" w:rsidRPr="002F4565">
        <w:rPr>
          <w:lang w:val="pt-BR"/>
        </w:rPr>
        <w:t>indústria de alimentos</w:t>
      </w:r>
      <w:r w:rsidR="00115B91" w:rsidRPr="002F4565">
        <w:rPr>
          <w:lang w:val="pt-BR"/>
        </w:rPr>
        <w:t xml:space="preserve"> </w:t>
      </w:r>
      <w:r w:rsidR="002E1AA7" w:rsidRPr="002F4565">
        <w:rPr>
          <w:lang w:val="pt-BR"/>
        </w:rPr>
        <w:t>deve</w:t>
      </w:r>
      <w:r w:rsidRPr="002F4565">
        <w:rPr>
          <w:lang w:val="pt-BR"/>
        </w:rPr>
        <w:t xml:space="preserve"> </w:t>
      </w:r>
      <w:r w:rsidR="00E72375" w:rsidRPr="002F4565">
        <w:rPr>
          <w:lang w:val="pt-BR"/>
        </w:rPr>
        <w:t xml:space="preserve">se abster </w:t>
      </w:r>
      <w:r w:rsidRPr="002F4565">
        <w:rPr>
          <w:lang w:val="pt-BR"/>
        </w:rPr>
        <w:t xml:space="preserve">de promover </w:t>
      </w:r>
      <w:r w:rsidR="001C2FAC" w:rsidRPr="002F4565">
        <w:rPr>
          <w:lang w:val="pt-BR"/>
        </w:rPr>
        <w:t xml:space="preserve">alegações </w:t>
      </w:r>
      <w:r w:rsidR="00115B91" w:rsidRPr="002F4565">
        <w:rPr>
          <w:lang w:val="pt-BR"/>
        </w:rPr>
        <w:t>fals</w:t>
      </w:r>
      <w:r w:rsidR="001C2FAC" w:rsidRPr="002F4565">
        <w:rPr>
          <w:lang w:val="pt-BR"/>
        </w:rPr>
        <w:t>as</w:t>
      </w:r>
      <w:r w:rsidR="00115B91" w:rsidRPr="002F4565">
        <w:rPr>
          <w:lang w:val="pt-BR"/>
        </w:rPr>
        <w:t xml:space="preserve"> </w:t>
      </w:r>
      <w:r w:rsidR="003F41C2" w:rsidRPr="002F4565">
        <w:rPr>
          <w:lang w:val="pt-BR"/>
        </w:rPr>
        <w:t>ou</w:t>
      </w:r>
      <w:r w:rsidR="00115B91" w:rsidRPr="002F4565">
        <w:rPr>
          <w:lang w:val="pt-BR"/>
        </w:rPr>
        <w:t xml:space="preserve"> </w:t>
      </w:r>
      <w:r w:rsidR="001C2FAC" w:rsidRPr="002F4565">
        <w:rPr>
          <w:lang w:val="pt-BR"/>
        </w:rPr>
        <w:t xml:space="preserve">enganosas sobre a </w:t>
      </w:r>
      <w:r w:rsidR="0049090C" w:rsidRPr="002F4565">
        <w:rPr>
          <w:lang w:val="pt-BR"/>
        </w:rPr>
        <w:t>saúde</w:t>
      </w:r>
      <w:r w:rsidR="00115B91" w:rsidRPr="002F4565">
        <w:rPr>
          <w:lang w:val="pt-BR"/>
        </w:rPr>
        <w:t xml:space="preserve"> </w:t>
      </w:r>
      <w:r w:rsidR="001C2FAC" w:rsidRPr="002F4565">
        <w:rPr>
          <w:lang w:val="pt-BR"/>
        </w:rPr>
        <w:t xml:space="preserve">em relação aos seus </w:t>
      </w:r>
      <w:r w:rsidR="00B5729E" w:rsidRPr="002F4565">
        <w:rPr>
          <w:lang w:val="pt-BR"/>
        </w:rPr>
        <w:t>produto</w:t>
      </w:r>
      <w:r w:rsidR="00115B91" w:rsidRPr="002F4565">
        <w:rPr>
          <w:lang w:val="pt-BR"/>
        </w:rPr>
        <w:t xml:space="preserve">s, </w:t>
      </w:r>
      <w:r w:rsidR="001C2FAC" w:rsidRPr="002F4565">
        <w:rPr>
          <w:lang w:val="pt-BR"/>
        </w:rPr>
        <w:t xml:space="preserve">de acordo com a </w:t>
      </w:r>
      <w:r w:rsidR="00765AF7" w:rsidRPr="002F4565">
        <w:rPr>
          <w:lang w:val="pt-BR"/>
        </w:rPr>
        <w:t>responsa</w:t>
      </w:r>
      <w:r w:rsidR="0049090C" w:rsidRPr="002F4565">
        <w:rPr>
          <w:lang w:val="pt-BR"/>
        </w:rPr>
        <w:t>bilidade</w:t>
      </w:r>
      <w:r w:rsidR="00115B91" w:rsidRPr="002F4565">
        <w:rPr>
          <w:lang w:val="pt-BR"/>
        </w:rPr>
        <w:t xml:space="preserve"> </w:t>
      </w:r>
      <w:r w:rsidR="001C2FAC" w:rsidRPr="002F4565">
        <w:rPr>
          <w:lang w:val="pt-BR"/>
        </w:rPr>
        <w:t>de</w:t>
      </w:r>
      <w:r w:rsidR="00115B91" w:rsidRPr="002F4565">
        <w:rPr>
          <w:lang w:val="pt-BR"/>
        </w:rPr>
        <w:t xml:space="preserve"> </w:t>
      </w:r>
      <w:r w:rsidR="00F21F55" w:rsidRPr="002F4565">
        <w:rPr>
          <w:lang w:val="pt-BR"/>
        </w:rPr>
        <w:t>respeit</w:t>
      </w:r>
      <w:r w:rsidR="001C2FAC" w:rsidRPr="002F4565">
        <w:rPr>
          <w:lang w:val="pt-BR"/>
        </w:rPr>
        <w:t>ar</w:t>
      </w:r>
      <w:r w:rsidR="00115B91" w:rsidRPr="002F4565">
        <w:rPr>
          <w:lang w:val="pt-BR"/>
        </w:rPr>
        <w:t xml:space="preserve"> </w:t>
      </w:r>
      <w:r w:rsidR="00261A8A" w:rsidRPr="002F4565">
        <w:rPr>
          <w:lang w:val="pt-BR"/>
        </w:rPr>
        <w:t>o</w:t>
      </w:r>
      <w:r w:rsidR="00115B91" w:rsidRPr="002F4565">
        <w:rPr>
          <w:lang w:val="pt-BR"/>
        </w:rPr>
        <w:t xml:space="preserve"> </w:t>
      </w:r>
      <w:r w:rsidR="00F21F55" w:rsidRPr="002F4565">
        <w:rPr>
          <w:lang w:val="pt-BR"/>
        </w:rPr>
        <w:t>direito à saúde</w:t>
      </w:r>
      <w:r w:rsidR="00115B91" w:rsidRPr="002F4565">
        <w:rPr>
          <w:lang w:val="pt-BR"/>
        </w:rPr>
        <w:t>.</w:t>
      </w:r>
    </w:p>
    <w:p w:rsidR="00115B91" w:rsidRPr="002F4565" w:rsidRDefault="001C2FAC" w:rsidP="0051636A">
      <w:pPr>
        <w:spacing w:before="120" w:after="0" w:line="240" w:lineRule="auto"/>
        <w:rPr>
          <w:lang w:val="pt-BR"/>
        </w:rPr>
      </w:pPr>
      <w:r w:rsidRPr="002F4565">
        <w:rPr>
          <w:lang w:val="pt-BR"/>
        </w:rPr>
        <w:t xml:space="preserve">As alegações relativas a </w:t>
      </w:r>
      <w:r w:rsidR="00072E1E" w:rsidRPr="002F4565">
        <w:rPr>
          <w:lang w:val="pt-BR"/>
        </w:rPr>
        <w:t>produtos alimentícios</w:t>
      </w:r>
      <w:r w:rsidR="00115B91" w:rsidRPr="002F4565">
        <w:rPr>
          <w:lang w:val="pt-BR"/>
        </w:rPr>
        <w:t xml:space="preserve"> </w:t>
      </w:r>
      <w:r w:rsidRPr="002F4565">
        <w:rPr>
          <w:lang w:val="pt-BR"/>
        </w:rPr>
        <w:t xml:space="preserve">muitas vezes se mostram não confirmáveis </w:t>
      </w:r>
      <w:r w:rsidR="0049090C" w:rsidRPr="002F4565">
        <w:rPr>
          <w:lang w:val="pt-BR"/>
        </w:rPr>
        <w:t>e</w:t>
      </w:r>
      <w:r w:rsidR="00115B91" w:rsidRPr="002F4565">
        <w:rPr>
          <w:lang w:val="pt-BR"/>
        </w:rPr>
        <w:t xml:space="preserve"> </w:t>
      </w:r>
      <w:r w:rsidRPr="002F4565">
        <w:rPr>
          <w:lang w:val="pt-BR"/>
        </w:rPr>
        <w:t xml:space="preserve">enganadoras quando se trata de </w:t>
      </w:r>
      <w:r w:rsidR="00072E1E" w:rsidRPr="002F4565">
        <w:rPr>
          <w:lang w:val="pt-BR"/>
        </w:rPr>
        <w:t>benefício</w:t>
      </w:r>
      <w:r w:rsidR="00115B91" w:rsidRPr="002F4565">
        <w:rPr>
          <w:lang w:val="pt-BR"/>
        </w:rPr>
        <w:t>s</w:t>
      </w:r>
      <w:r w:rsidRPr="002F4565">
        <w:rPr>
          <w:lang w:val="pt-BR"/>
        </w:rPr>
        <w:t xml:space="preserve"> de saúde</w:t>
      </w:r>
      <w:r w:rsidR="00115B91" w:rsidRPr="002F4565">
        <w:rPr>
          <w:lang w:val="pt-BR"/>
        </w:rPr>
        <w:t xml:space="preserve">. </w:t>
      </w:r>
      <w:r w:rsidRPr="002F4565">
        <w:rPr>
          <w:lang w:val="pt-BR"/>
        </w:rPr>
        <w:t>Além disso</w:t>
      </w:r>
      <w:r w:rsidR="00115B91" w:rsidRPr="002F4565">
        <w:rPr>
          <w:lang w:val="pt-BR"/>
        </w:rPr>
        <w:t xml:space="preserve">, </w:t>
      </w:r>
      <w:r w:rsidRPr="002F4565">
        <w:rPr>
          <w:lang w:val="pt-BR"/>
        </w:rPr>
        <w:t xml:space="preserve">mesmo quando </w:t>
      </w:r>
      <w:r w:rsidR="00115B91" w:rsidRPr="002F4565">
        <w:rPr>
          <w:lang w:val="pt-BR"/>
        </w:rPr>
        <w:t>ingredient</w:t>
      </w:r>
      <w:r w:rsidRPr="002F4565">
        <w:rPr>
          <w:lang w:val="pt-BR"/>
        </w:rPr>
        <w:t>e</w:t>
      </w:r>
      <w:r w:rsidR="00115B91" w:rsidRPr="002F4565">
        <w:rPr>
          <w:lang w:val="pt-BR"/>
        </w:rPr>
        <w:t xml:space="preserve">s </w:t>
      </w:r>
      <w:r w:rsidRPr="002F4565">
        <w:rPr>
          <w:lang w:val="pt-BR"/>
        </w:rPr>
        <w:t>não saudáveis</w:t>
      </w:r>
      <w:r w:rsidR="00E72375" w:rsidRPr="002F4565">
        <w:rPr>
          <w:lang w:val="pt-BR"/>
        </w:rPr>
        <w:t>,</w:t>
      </w:r>
      <w:r w:rsidRPr="002F4565">
        <w:rPr>
          <w:lang w:val="pt-BR"/>
        </w:rPr>
        <w:t xml:space="preserve"> como o teor de </w:t>
      </w:r>
      <w:r w:rsidR="0040430A" w:rsidRPr="002F4565">
        <w:rPr>
          <w:lang w:val="pt-BR"/>
        </w:rPr>
        <w:t>açúcar</w:t>
      </w:r>
      <w:r w:rsidR="00115B91" w:rsidRPr="002F4565">
        <w:rPr>
          <w:lang w:val="pt-BR"/>
        </w:rPr>
        <w:t xml:space="preserve"> </w:t>
      </w:r>
      <w:r w:rsidR="0049090C" w:rsidRPr="002F4565">
        <w:rPr>
          <w:lang w:val="pt-BR"/>
        </w:rPr>
        <w:t>e</w:t>
      </w:r>
      <w:r w:rsidR="00115B91" w:rsidRPr="002F4565">
        <w:rPr>
          <w:lang w:val="pt-BR"/>
        </w:rPr>
        <w:t xml:space="preserve"> </w:t>
      </w:r>
      <w:r w:rsidRPr="002F4565">
        <w:rPr>
          <w:lang w:val="pt-BR"/>
        </w:rPr>
        <w:t>gordura</w:t>
      </w:r>
      <w:r w:rsidR="00E72375" w:rsidRPr="002F4565">
        <w:rPr>
          <w:lang w:val="pt-BR"/>
        </w:rPr>
        <w:t>,</w:t>
      </w:r>
      <w:r w:rsidRPr="002F4565">
        <w:rPr>
          <w:lang w:val="pt-BR"/>
        </w:rPr>
        <w:t xml:space="preserve"> </w:t>
      </w:r>
      <w:r w:rsidR="0040430A" w:rsidRPr="002F4565">
        <w:rPr>
          <w:lang w:val="pt-BR"/>
        </w:rPr>
        <w:t>são</w:t>
      </w:r>
      <w:r w:rsidR="00115B91" w:rsidRPr="002F4565">
        <w:rPr>
          <w:lang w:val="pt-BR"/>
        </w:rPr>
        <w:t xml:space="preserve"> </w:t>
      </w:r>
      <w:r w:rsidRPr="002F4565">
        <w:rPr>
          <w:lang w:val="pt-BR"/>
        </w:rPr>
        <w:t xml:space="preserve">substituídos por amido refinado </w:t>
      </w:r>
      <w:r w:rsidR="0049090C" w:rsidRPr="002F4565">
        <w:rPr>
          <w:lang w:val="pt-BR"/>
        </w:rPr>
        <w:t>e</w:t>
      </w:r>
      <w:r w:rsidR="00115B91" w:rsidRPr="002F4565">
        <w:rPr>
          <w:lang w:val="pt-BR"/>
        </w:rPr>
        <w:t xml:space="preserve"> promo</w:t>
      </w:r>
      <w:r w:rsidRPr="002F4565">
        <w:rPr>
          <w:lang w:val="pt-BR"/>
        </w:rPr>
        <w:t xml:space="preserve">vidos como </w:t>
      </w:r>
      <w:r w:rsidR="00F21F55" w:rsidRPr="002F4565">
        <w:rPr>
          <w:lang w:val="pt-BR"/>
        </w:rPr>
        <w:t>opções</w:t>
      </w:r>
      <w:r w:rsidRPr="002F4565">
        <w:rPr>
          <w:lang w:val="pt-BR"/>
        </w:rPr>
        <w:t xml:space="preserve"> alimentares “mais saudáveis”</w:t>
      </w:r>
      <w:r w:rsidR="00115B91" w:rsidRPr="002F4565">
        <w:rPr>
          <w:lang w:val="pt-BR"/>
        </w:rPr>
        <w:t xml:space="preserve">, </w:t>
      </w:r>
      <w:r w:rsidR="0040430A" w:rsidRPr="002F4565">
        <w:rPr>
          <w:lang w:val="pt-BR"/>
        </w:rPr>
        <w:t>são</w:t>
      </w:r>
      <w:r w:rsidR="00115B91" w:rsidRPr="002F4565">
        <w:rPr>
          <w:lang w:val="pt-BR"/>
        </w:rPr>
        <w:t xml:space="preserve"> </w:t>
      </w:r>
      <w:r w:rsidRPr="002F4565">
        <w:rPr>
          <w:lang w:val="pt-BR"/>
        </w:rPr>
        <w:t xml:space="preserve">ainda </w:t>
      </w:r>
      <w:r w:rsidR="003F41C2" w:rsidRPr="002F4565">
        <w:rPr>
          <w:lang w:val="pt-BR"/>
        </w:rPr>
        <w:t>alimentos processados</w:t>
      </w:r>
      <w:r w:rsidR="00115B91" w:rsidRPr="002F4565">
        <w:rPr>
          <w:lang w:val="pt-BR"/>
        </w:rPr>
        <w:t xml:space="preserve"> </w:t>
      </w:r>
      <w:r w:rsidR="00F21F55" w:rsidRPr="002F4565">
        <w:rPr>
          <w:lang w:val="pt-BR"/>
        </w:rPr>
        <w:t>com</w:t>
      </w:r>
      <w:r w:rsidR="00115B91" w:rsidRPr="002F4565">
        <w:rPr>
          <w:lang w:val="pt-BR"/>
        </w:rPr>
        <w:t xml:space="preserve"> </w:t>
      </w:r>
      <w:r w:rsidRPr="002F4565">
        <w:rPr>
          <w:lang w:val="pt-BR"/>
        </w:rPr>
        <w:t xml:space="preserve">pouca melhoria na </w:t>
      </w:r>
      <w:r w:rsidR="00115B91" w:rsidRPr="002F4565">
        <w:rPr>
          <w:lang w:val="pt-BR"/>
        </w:rPr>
        <w:t>qu</w:t>
      </w:r>
      <w:r w:rsidR="0040430A" w:rsidRPr="002F4565">
        <w:rPr>
          <w:lang w:val="pt-BR"/>
        </w:rPr>
        <w:t>alidade</w:t>
      </w:r>
      <w:r w:rsidRPr="002F4565">
        <w:rPr>
          <w:lang w:val="pt-BR"/>
        </w:rPr>
        <w:t xml:space="preserve"> </w:t>
      </w:r>
      <w:proofErr w:type="gramStart"/>
      <w:r w:rsidRPr="002F4565">
        <w:rPr>
          <w:lang w:val="pt-BR"/>
        </w:rPr>
        <w:t>nutricional</w:t>
      </w:r>
      <w:r w:rsidR="00115B91" w:rsidRPr="002F4565">
        <w:rPr>
          <w:lang w:val="pt-BR"/>
        </w:rPr>
        <w:t>.</w:t>
      </w:r>
      <w:proofErr w:type="gramEnd"/>
      <w:r w:rsidR="00115B91" w:rsidRPr="002F4565">
        <w:rPr>
          <w:vertAlign w:val="superscript"/>
          <w:lang w:val="pt-BR"/>
        </w:rPr>
        <w:t>45</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30. </w:t>
      </w:r>
      <w:r w:rsidR="003C10C1" w:rsidRPr="002F4565">
        <w:rPr>
          <w:lang w:val="pt-BR"/>
        </w:rPr>
        <w:t>Estudos</w:t>
      </w:r>
      <w:r w:rsidRPr="002F4565">
        <w:rPr>
          <w:lang w:val="pt-BR"/>
        </w:rPr>
        <w:t xml:space="preserve"> </w:t>
      </w:r>
      <w:r w:rsidR="003C10C1" w:rsidRPr="002F4565">
        <w:rPr>
          <w:lang w:val="pt-BR"/>
        </w:rPr>
        <w:t xml:space="preserve">demonstraram </w:t>
      </w:r>
      <w:r w:rsidR="006A31E1" w:rsidRPr="002F4565">
        <w:rPr>
          <w:lang w:val="pt-BR"/>
        </w:rPr>
        <w:t>que</w:t>
      </w:r>
      <w:r w:rsidRPr="002F4565">
        <w:rPr>
          <w:lang w:val="pt-BR"/>
        </w:rPr>
        <w:t xml:space="preserve"> </w:t>
      </w:r>
      <w:r w:rsidR="003C10C1" w:rsidRPr="002F4565">
        <w:rPr>
          <w:lang w:val="pt-BR"/>
        </w:rPr>
        <w:t>a</w:t>
      </w:r>
      <w:r w:rsidRPr="002F4565">
        <w:rPr>
          <w:lang w:val="pt-BR"/>
        </w:rPr>
        <w:t xml:space="preserve"> </w:t>
      </w:r>
      <w:r w:rsidR="00F21F55" w:rsidRPr="002F4565">
        <w:rPr>
          <w:lang w:val="pt-BR"/>
        </w:rPr>
        <w:t>indústria de alimentos</w:t>
      </w:r>
      <w:r w:rsidRPr="002F4565">
        <w:rPr>
          <w:lang w:val="pt-BR"/>
        </w:rPr>
        <w:t xml:space="preserve"> us</w:t>
      </w:r>
      <w:r w:rsidR="003C10C1" w:rsidRPr="002F4565">
        <w:rPr>
          <w:lang w:val="pt-BR"/>
        </w:rPr>
        <w:t>a</w:t>
      </w:r>
      <w:r w:rsidRPr="002F4565">
        <w:rPr>
          <w:lang w:val="pt-BR"/>
        </w:rPr>
        <w:t xml:space="preserve"> v</w:t>
      </w:r>
      <w:r w:rsidR="003C10C1" w:rsidRPr="002F4565">
        <w:rPr>
          <w:lang w:val="pt-BR"/>
        </w:rPr>
        <w:t xml:space="preserve">árias </w:t>
      </w:r>
      <w:r w:rsidR="003C09F9" w:rsidRPr="002F4565">
        <w:rPr>
          <w:lang w:val="pt-BR"/>
        </w:rPr>
        <w:t>estratégias</w:t>
      </w:r>
      <w:r w:rsidRPr="002F4565">
        <w:rPr>
          <w:lang w:val="pt-BR"/>
        </w:rPr>
        <w:t xml:space="preserve"> </w:t>
      </w:r>
      <w:r w:rsidR="003C10C1" w:rsidRPr="002F4565">
        <w:rPr>
          <w:lang w:val="pt-BR"/>
        </w:rPr>
        <w:t xml:space="preserve">para </w:t>
      </w:r>
      <w:r w:rsidR="00E72375" w:rsidRPr="002F4565">
        <w:rPr>
          <w:lang w:val="pt-BR"/>
        </w:rPr>
        <w:t xml:space="preserve">enfraquecer </w:t>
      </w:r>
      <w:r w:rsidR="003C10C1" w:rsidRPr="002F4565">
        <w:rPr>
          <w:lang w:val="pt-BR"/>
        </w:rPr>
        <w:t xml:space="preserve">os esforços de </w:t>
      </w:r>
      <w:r w:rsidR="003F41C2" w:rsidRPr="002F4565">
        <w:rPr>
          <w:lang w:val="pt-BR"/>
        </w:rPr>
        <w:t>nutrição</w:t>
      </w:r>
      <w:r w:rsidRPr="002F4565">
        <w:rPr>
          <w:lang w:val="pt-BR"/>
        </w:rPr>
        <w:t xml:space="preserve"> </w:t>
      </w:r>
      <w:r w:rsidR="003C10C1" w:rsidRPr="002F4565">
        <w:rPr>
          <w:lang w:val="pt-BR"/>
        </w:rPr>
        <w:t>na saúde pública</w:t>
      </w:r>
      <w:r w:rsidRPr="002F4565">
        <w:rPr>
          <w:lang w:val="pt-BR"/>
        </w:rPr>
        <w:t xml:space="preserve">. </w:t>
      </w:r>
      <w:r w:rsidR="007D3BE3" w:rsidRPr="002F4565">
        <w:rPr>
          <w:lang w:val="pt-BR"/>
        </w:rPr>
        <w:t>Por exemplo</w:t>
      </w:r>
      <w:r w:rsidRPr="002F4565">
        <w:rPr>
          <w:lang w:val="pt-BR"/>
        </w:rPr>
        <w:t xml:space="preserve">, </w:t>
      </w:r>
      <w:r w:rsidR="003C10C1"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3C10C1" w:rsidRPr="002F4565">
        <w:rPr>
          <w:lang w:val="pt-BR"/>
        </w:rPr>
        <w:t>contrata acadêmicos proeminentes para seus conselhos consultivos</w:t>
      </w:r>
      <w:r w:rsidRPr="002F4565">
        <w:rPr>
          <w:lang w:val="pt-BR"/>
        </w:rPr>
        <w:t xml:space="preserve">, </w:t>
      </w:r>
      <w:r w:rsidR="003C10C1" w:rsidRPr="002F4565">
        <w:rPr>
          <w:lang w:val="pt-BR"/>
        </w:rPr>
        <w:t xml:space="preserve">que </w:t>
      </w:r>
      <w:r w:rsidR="000E48EB" w:rsidRPr="002F4565">
        <w:rPr>
          <w:lang w:val="pt-BR"/>
        </w:rPr>
        <w:t>podem</w:t>
      </w:r>
      <w:r w:rsidRPr="002F4565">
        <w:rPr>
          <w:lang w:val="pt-BR"/>
        </w:rPr>
        <w:t xml:space="preserve"> result</w:t>
      </w:r>
      <w:r w:rsidR="003C10C1" w:rsidRPr="002F4565">
        <w:rPr>
          <w:lang w:val="pt-BR"/>
        </w:rPr>
        <w:t>ar</w:t>
      </w:r>
      <w:r w:rsidRPr="002F4565">
        <w:rPr>
          <w:lang w:val="pt-BR"/>
        </w:rPr>
        <w:t xml:space="preserve"> </w:t>
      </w:r>
      <w:r w:rsidR="00FB4DE4" w:rsidRPr="002F4565">
        <w:rPr>
          <w:lang w:val="pt-BR"/>
        </w:rPr>
        <w:t>em</w:t>
      </w:r>
      <w:r w:rsidRPr="002F4565">
        <w:rPr>
          <w:lang w:val="pt-BR"/>
        </w:rPr>
        <w:t xml:space="preserve"> </w:t>
      </w:r>
      <w:r w:rsidR="003C10C1" w:rsidRPr="002F4565">
        <w:rPr>
          <w:lang w:val="pt-BR"/>
        </w:rPr>
        <w:t xml:space="preserve">achados mais </w:t>
      </w:r>
      <w:r w:rsidRPr="002F4565">
        <w:rPr>
          <w:lang w:val="pt-BR"/>
        </w:rPr>
        <w:t>favor</w:t>
      </w:r>
      <w:r w:rsidR="00802E44" w:rsidRPr="002F4565">
        <w:rPr>
          <w:lang w:val="pt-BR"/>
        </w:rPr>
        <w:t>áveis</w:t>
      </w:r>
      <w:r w:rsidRPr="002F4565">
        <w:rPr>
          <w:lang w:val="pt-BR"/>
        </w:rPr>
        <w:t xml:space="preserve"> </w:t>
      </w:r>
      <w:r w:rsidR="003C10C1" w:rsidRPr="002F4565">
        <w:rPr>
          <w:lang w:val="pt-BR"/>
        </w:rPr>
        <w:t xml:space="preserve">à </w:t>
      </w:r>
      <w:r w:rsidR="00F21F55" w:rsidRPr="002F4565">
        <w:rPr>
          <w:lang w:val="pt-BR"/>
        </w:rPr>
        <w:t>indústria de alimentos</w:t>
      </w:r>
      <w:r w:rsidRPr="002F4565">
        <w:rPr>
          <w:lang w:val="pt-BR"/>
        </w:rPr>
        <w:t xml:space="preserve">, </w:t>
      </w:r>
      <w:r w:rsidR="00F21F55" w:rsidRPr="002F4565">
        <w:rPr>
          <w:lang w:val="pt-BR"/>
        </w:rPr>
        <w:t>com</w:t>
      </w:r>
      <w:r w:rsidRPr="002F4565">
        <w:rPr>
          <w:lang w:val="pt-BR"/>
        </w:rPr>
        <w:t xml:space="preserve"> </w:t>
      </w:r>
      <w:r w:rsidR="00261A8A" w:rsidRPr="002F4565">
        <w:rPr>
          <w:lang w:val="pt-BR"/>
        </w:rPr>
        <w:t>o</w:t>
      </w:r>
      <w:r w:rsidRPr="002F4565">
        <w:rPr>
          <w:lang w:val="pt-BR"/>
        </w:rPr>
        <w:t xml:space="preserve"> </w:t>
      </w:r>
      <w:r w:rsidR="003C10C1" w:rsidRPr="002F4565">
        <w:rPr>
          <w:lang w:val="pt-BR"/>
        </w:rPr>
        <w:t xml:space="preserve">perigo de </w:t>
      </w:r>
      <w:r w:rsidR="006A31E1" w:rsidRPr="002F4565">
        <w:rPr>
          <w:lang w:val="pt-BR"/>
        </w:rPr>
        <w:t>que</w:t>
      </w:r>
      <w:r w:rsidRPr="002F4565">
        <w:rPr>
          <w:lang w:val="pt-BR"/>
        </w:rPr>
        <w:t xml:space="preserve"> </w:t>
      </w:r>
      <w:r w:rsidR="003C10C1"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0E48EB" w:rsidRPr="002F4565">
        <w:rPr>
          <w:lang w:val="pt-BR"/>
        </w:rPr>
        <w:t>pode</w:t>
      </w:r>
      <w:r w:rsidRPr="002F4565">
        <w:rPr>
          <w:lang w:val="pt-BR"/>
        </w:rPr>
        <w:t xml:space="preserve"> us</w:t>
      </w:r>
      <w:r w:rsidR="003C10C1" w:rsidRPr="002F4565">
        <w:rPr>
          <w:lang w:val="pt-BR"/>
        </w:rPr>
        <w:t>ar</w:t>
      </w:r>
      <w:r w:rsidRPr="002F4565">
        <w:rPr>
          <w:lang w:val="pt-BR"/>
        </w:rPr>
        <w:t xml:space="preserve"> </w:t>
      </w:r>
      <w:r w:rsidR="003C10C1" w:rsidRPr="002F4565">
        <w:rPr>
          <w:lang w:val="pt-BR"/>
        </w:rPr>
        <w:t xml:space="preserve">tais achados </w:t>
      </w:r>
      <w:r w:rsidR="00E46F33" w:rsidRPr="002F4565">
        <w:rPr>
          <w:lang w:val="pt-BR"/>
        </w:rPr>
        <w:t xml:space="preserve">parciais para sustentar suas alegações de </w:t>
      </w:r>
      <w:proofErr w:type="gramStart"/>
      <w:r w:rsidR="003F41C2" w:rsidRPr="002F4565">
        <w:rPr>
          <w:lang w:val="pt-BR"/>
        </w:rPr>
        <w:t>nutrição</w:t>
      </w:r>
      <w:r w:rsidRPr="002F4565">
        <w:rPr>
          <w:lang w:val="pt-BR"/>
        </w:rPr>
        <w:t>.</w:t>
      </w:r>
      <w:proofErr w:type="gramEnd"/>
      <w:r w:rsidRPr="002F4565">
        <w:rPr>
          <w:vertAlign w:val="superscript"/>
          <w:lang w:val="pt-BR"/>
        </w:rPr>
        <w:t>46</w:t>
      </w:r>
      <w:r w:rsidRPr="002F4565">
        <w:rPr>
          <w:lang w:val="pt-BR"/>
        </w:rPr>
        <w:t xml:space="preserve"> O</w:t>
      </w:r>
      <w:r w:rsidR="00E46F33" w:rsidRPr="002F4565">
        <w:rPr>
          <w:lang w:val="pt-BR"/>
        </w:rPr>
        <w:t xml:space="preserve">utra tática </w:t>
      </w:r>
      <w:r w:rsidRPr="002F4565">
        <w:rPr>
          <w:lang w:val="pt-BR"/>
        </w:rPr>
        <w:t>inclu</w:t>
      </w:r>
      <w:r w:rsidR="00E46F33" w:rsidRPr="002F4565">
        <w:rPr>
          <w:lang w:val="pt-BR"/>
        </w:rPr>
        <w:t xml:space="preserve">i </w:t>
      </w:r>
      <w:r w:rsidR="00261A8A" w:rsidRPr="002F4565">
        <w:rPr>
          <w:lang w:val="pt-BR"/>
        </w:rPr>
        <w:t>o</w:t>
      </w:r>
      <w:r w:rsidRPr="002F4565">
        <w:rPr>
          <w:lang w:val="pt-BR"/>
        </w:rPr>
        <w:t xml:space="preserve"> </w:t>
      </w:r>
      <w:r w:rsidR="00E46F33" w:rsidRPr="002F4565">
        <w:rPr>
          <w:lang w:val="pt-BR"/>
        </w:rPr>
        <w:t xml:space="preserve">financiamento de </w:t>
      </w:r>
      <w:r w:rsidR="00802E44" w:rsidRPr="002F4565">
        <w:rPr>
          <w:lang w:val="pt-BR"/>
        </w:rPr>
        <w:t>grupos</w:t>
      </w:r>
      <w:r w:rsidRPr="002F4565">
        <w:rPr>
          <w:lang w:val="pt-BR"/>
        </w:rPr>
        <w:t xml:space="preserve"> </w:t>
      </w:r>
      <w:r w:rsidR="00E46F33" w:rsidRPr="002F4565">
        <w:rPr>
          <w:lang w:val="pt-BR"/>
        </w:rPr>
        <w:t xml:space="preserve">de fachada </w:t>
      </w:r>
      <w:r w:rsidRPr="002F4565">
        <w:rPr>
          <w:lang w:val="pt-BR"/>
        </w:rPr>
        <w:t>(</w:t>
      </w:r>
      <w:r w:rsidR="006A31E1" w:rsidRPr="002F4565">
        <w:rPr>
          <w:lang w:val="pt-BR"/>
        </w:rPr>
        <w:t>que</w:t>
      </w:r>
      <w:r w:rsidRPr="002F4565">
        <w:rPr>
          <w:lang w:val="pt-BR"/>
        </w:rPr>
        <w:t xml:space="preserve"> </w:t>
      </w:r>
      <w:r w:rsidR="00E46F33" w:rsidRPr="002F4565">
        <w:rPr>
          <w:lang w:val="pt-BR"/>
        </w:rPr>
        <w:t xml:space="preserve">parecem </w:t>
      </w:r>
      <w:r w:rsidRPr="002F4565">
        <w:rPr>
          <w:lang w:val="pt-BR"/>
        </w:rPr>
        <w:t>independent</w:t>
      </w:r>
      <w:r w:rsidR="00E46F33" w:rsidRPr="002F4565">
        <w:rPr>
          <w:lang w:val="pt-BR"/>
        </w:rPr>
        <w:t>es</w:t>
      </w:r>
      <w:r w:rsidRPr="002F4565">
        <w:rPr>
          <w:lang w:val="pt-BR"/>
        </w:rPr>
        <w:t xml:space="preserve">, </w:t>
      </w:r>
      <w:r w:rsidR="00E46F33" w:rsidRPr="002F4565">
        <w:rPr>
          <w:lang w:val="pt-BR"/>
        </w:rPr>
        <w:t xml:space="preserve">mas </w:t>
      </w:r>
      <w:r w:rsidR="0040430A" w:rsidRPr="002F4565">
        <w:rPr>
          <w:lang w:val="pt-BR"/>
        </w:rPr>
        <w:t>são</w:t>
      </w:r>
      <w:r w:rsidRPr="002F4565">
        <w:rPr>
          <w:lang w:val="pt-BR"/>
        </w:rPr>
        <w:t xml:space="preserve"> control</w:t>
      </w:r>
      <w:r w:rsidR="00E46F33" w:rsidRPr="002F4565">
        <w:rPr>
          <w:lang w:val="pt-BR"/>
        </w:rPr>
        <w:t xml:space="preserve">ados por </w:t>
      </w:r>
      <w:r w:rsidR="003F41C2" w:rsidRPr="002F4565">
        <w:rPr>
          <w:lang w:val="pt-BR"/>
        </w:rPr>
        <w:t>outr</w:t>
      </w:r>
      <w:r w:rsidR="00E46F33" w:rsidRPr="002F4565">
        <w:rPr>
          <w:lang w:val="pt-BR"/>
        </w:rPr>
        <w:t>a</w:t>
      </w:r>
      <w:r w:rsidR="003F41C2" w:rsidRPr="002F4565">
        <w:rPr>
          <w:lang w:val="pt-BR"/>
        </w:rPr>
        <w:t>s</w:t>
      </w:r>
      <w:r w:rsidRPr="002F4565">
        <w:rPr>
          <w:lang w:val="pt-BR"/>
        </w:rPr>
        <w:t xml:space="preserve"> organiz</w:t>
      </w:r>
      <w:r w:rsidR="00F21F55" w:rsidRPr="002F4565">
        <w:rPr>
          <w:lang w:val="pt-BR"/>
        </w:rPr>
        <w:t>ações</w:t>
      </w:r>
      <w:r w:rsidRPr="002F4565">
        <w:rPr>
          <w:lang w:val="pt-BR"/>
        </w:rPr>
        <w:t xml:space="preserve">), </w:t>
      </w:r>
      <w:r w:rsidR="00E46F33" w:rsidRPr="002F4565">
        <w:rPr>
          <w:lang w:val="pt-BR"/>
        </w:rPr>
        <w:t xml:space="preserve">fazendo lobby </w:t>
      </w:r>
      <w:r w:rsidR="0049090C" w:rsidRPr="002F4565">
        <w:rPr>
          <w:lang w:val="pt-BR"/>
        </w:rPr>
        <w:t>e</w:t>
      </w:r>
      <w:r w:rsidRPr="002F4565">
        <w:rPr>
          <w:lang w:val="pt-BR"/>
        </w:rPr>
        <w:t xml:space="preserve"> institu</w:t>
      </w:r>
      <w:r w:rsidR="00E46F33" w:rsidRPr="002F4565">
        <w:rPr>
          <w:lang w:val="pt-BR"/>
        </w:rPr>
        <w:t>indo processos e ameaças a este respeito</w:t>
      </w:r>
      <w:r w:rsidRPr="002F4565">
        <w:rPr>
          <w:lang w:val="pt-BR"/>
        </w:rPr>
        <w:t>.</w:t>
      </w:r>
      <w:r w:rsidRPr="002F4565">
        <w:rPr>
          <w:vertAlign w:val="superscript"/>
          <w:lang w:val="pt-BR"/>
        </w:rPr>
        <w:t>47</w:t>
      </w:r>
      <w:r w:rsidRPr="002F4565">
        <w:rPr>
          <w:lang w:val="pt-BR"/>
        </w:rPr>
        <w:t xml:space="preserve"> </w:t>
      </w:r>
      <w:r w:rsidR="00E46F33" w:rsidRPr="002F4565">
        <w:rPr>
          <w:lang w:val="pt-BR"/>
        </w:rPr>
        <w:t>T</w:t>
      </w:r>
      <w:r w:rsidR="00F21F55" w:rsidRPr="002F4565">
        <w:rPr>
          <w:lang w:val="pt-BR"/>
        </w:rPr>
        <w:t>ambém</w:t>
      </w:r>
      <w:r w:rsidR="00E46F33" w:rsidRPr="002F4565">
        <w:rPr>
          <w:lang w:val="pt-BR"/>
        </w:rPr>
        <w:t xml:space="preserve"> foi demonstrado </w:t>
      </w:r>
      <w:r w:rsidR="006A31E1" w:rsidRPr="002F4565">
        <w:rPr>
          <w:lang w:val="pt-BR"/>
        </w:rPr>
        <w:t>que</w:t>
      </w:r>
      <w:r w:rsidRPr="002F4565">
        <w:rPr>
          <w:lang w:val="pt-BR"/>
        </w:rPr>
        <w:t xml:space="preserve">, </w:t>
      </w:r>
      <w:r w:rsidR="00E46F33" w:rsidRPr="002F4565">
        <w:rPr>
          <w:lang w:val="pt-BR"/>
        </w:rPr>
        <w:t xml:space="preserve">sob o disfarce de </w:t>
      </w:r>
      <w:r w:rsidR="00765AF7" w:rsidRPr="002F4565">
        <w:rPr>
          <w:lang w:val="pt-BR"/>
        </w:rPr>
        <w:t>responsa</w:t>
      </w:r>
      <w:r w:rsidR="0049090C" w:rsidRPr="002F4565">
        <w:rPr>
          <w:lang w:val="pt-BR"/>
        </w:rPr>
        <w:t>bilidade</w:t>
      </w:r>
      <w:r w:rsidRPr="002F4565">
        <w:rPr>
          <w:lang w:val="pt-BR"/>
        </w:rPr>
        <w:t xml:space="preserve"> </w:t>
      </w:r>
      <w:r w:rsidR="00E46F33" w:rsidRPr="002F4565">
        <w:rPr>
          <w:lang w:val="pt-BR"/>
        </w:rPr>
        <w:t xml:space="preserve">social corporativa para atender às suas </w:t>
      </w:r>
      <w:r w:rsidR="00F21F55" w:rsidRPr="002F4565">
        <w:rPr>
          <w:lang w:val="pt-BR"/>
        </w:rPr>
        <w:t>obrigações</w:t>
      </w:r>
      <w:r w:rsidRPr="002F4565">
        <w:rPr>
          <w:lang w:val="pt-BR"/>
        </w:rPr>
        <w:t xml:space="preserve"> </w:t>
      </w:r>
      <w:r w:rsidR="00E46F33" w:rsidRPr="002F4565">
        <w:rPr>
          <w:lang w:val="pt-BR"/>
        </w:rPr>
        <w:t>éticas em relação à sociedade como um todo</w:t>
      </w:r>
      <w:r w:rsidRPr="002F4565">
        <w:rPr>
          <w:lang w:val="pt-BR"/>
        </w:rPr>
        <w:t xml:space="preserve">, </w:t>
      </w:r>
      <w:r w:rsidR="00E46F33" w:rsidRPr="002F4565">
        <w:rPr>
          <w:lang w:val="pt-BR"/>
        </w:rPr>
        <w:t xml:space="preserve">grandes fabricantes de refrigerantes tentaram deslocar o </w:t>
      </w:r>
      <w:r w:rsidR="00F21F55" w:rsidRPr="002F4565">
        <w:rPr>
          <w:lang w:val="pt-BR"/>
        </w:rPr>
        <w:t>ônus</w:t>
      </w:r>
      <w:r w:rsidRPr="002F4565">
        <w:rPr>
          <w:lang w:val="pt-BR"/>
        </w:rPr>
        <w:t xml:space="preserve"> </w:t>
      </w:r>
      <w:r w:rsidR="0049090C" w:rsidRPr="002F4565">
        <w:rPr>
          <w:lang w:val="pt-BR"/>
        </w:rPr>
        <w:t>d</w:t>
      </w:r>
      <w:r w:rsidR="00E46F33" w:rsidRPr="002F4565">
        <w:rPr>
          <w:lang w:val="pt-BR"/>
        </w:rPr>
        <w:t>a</w:t>
      </w:r>
      <w:r w:rsidRPr="002F4565">
        <w:rPr>
          <w:lang w:val="pt-BR"/>
        </w:rPr>
        <w:t xml:space="preserve"> </w:t>
      </w:r>
      <w:r w:rsidR="00765AF7" w:rsidRPr="002F4565">
        <w:rPr>
          <w:lang w:val="pt-BR"/>
        </w:rPr>
        <w:t>responsa</w:t>
      </w:r>
      <w:r w:rsidR="0049090C" w:rsidRPr="002F4565">
        <w:rPr>
          <w:lang w:val="pt-BR"/>
        </w:rPr>
        <w:t>bilidade</w:t>
      </w:r>
      <w:r w:rsidRPr="002F4565">
        <w:rPr>
          <w:lang w:val="pt-BR"/>
        </w:rPr>
        <w:t xml:space="preserve"> </w:t>
      </w:r>
      <w:r w:rsidR="00E72375" w:rsidRPr="002F4565">
        <w:rPr>
          <w:lang w:val="pt-BR"/>
        </w:rPr>
        <w:t xml:space="preserve">da </w:t>
      </w:r>
      <w:r w:rsidR="00E46F33" w:rsidRPr="002F4565">
        <w:rPr>
          <w:lang w:val="pt-BR"/>
        </w:rPr>
        <w:t xml:space="preserve">tomada de decisões </w:t>
      </w:r>
      <w:r w:rsidR="00F21F55" w:rsidRPr="002F4565">
        <w:rPr>
          <w:lang w:val="pt-BR"/>
        </w:rPr>
        <w:t>mais saudáveis</w:t>
      </w:r>
      <w:r w:rsidRPr="002F4565">
        <w:rPr>
          <w:lang w:val="pt-BR"/>
        </w:rPr>
        <w:t xml:space="preserve"> </w:t>
      </w:r>
      <w:r w:rsidR="00E46F33" w:rsidRPr="002F4565">
        <w:rPr>
          <w:lang w:val="pt-BR"/>
        </w:rPr>
        <w:t xml:space="preserve">para os </w:t>
      </w:r>
      <w:r w:rsidR="002E1AA7" w:rsidRPr="002F4565">
        <w:rPr>
          <w:lang w:val="pt-BR"/>
        </w:rPr>
        <w:t>consumidores</w:t>
      </w:r>
      <w:r w:rsidR="00E72375" w:rsidRPr="002F4565">
        <w:rPr>
          <w:lang w:val="pt-BR"/>
        </w:rPr>
        <w:t>,</w:t>
      </w:r>
      <w:r w:rsidRPr="002F4565">
        <w:rPr>
          <w:lang w:val="pt-BR"/>
        </w:rPr>
        <w:t xml:space="preserve"> </w:t>
      </w:r>
      <w:r w:rsidR="00E46F33" w:rsidRPr="002F4565">
        <w:rPr>
          <w:lang w:val="pt-BR"/>
        </w:rPr>
        <w:t xml:space="preserve">em lugar </w:t>
      </w:r>
      <w:r w:rsidR="0049090C" w:rsidRPr="002F4565">
        <w:rPr>
          <w:lang w:val="pt-BR"/>
        </w:rPr>
        <w:t>de</w:t>
      </w:r>
      <w:r w:rsidRPr="002F4565">
        <w:rPr>
          <w:lang w:val="pt-BR"/>
        </w:rPr>
        <w:t xml:space="preserve"> </w:t>
      </w:r>
      <w:r w:rsidR="00E46F33" w:rsidRPr="002F4565">
        <w:rPr>
          <w:lang w:val="pt-BR"/>
        </w:rPr>
        <w:t xml:space="preserve">assumir </w:t>
      </w:r>
      <w:r w:rsidR="00E72375" w:rsidRPr="002F4565">
        <w:rPr>
          <w:lang w:val="pt-BR"/>
        </w:rPr>
        <w:t xml:space="preserve">responsabilidade por ter criado </w:t>
      </w:r>
      <w:r w:rsidR="00E46F33" w:rsidRPr="002F4565">
        <w:rPr>
          <w:lang w:val="pt-BR"/>
        </w:rPr>
        <w:t xml:space="preserve">um </w:t>
      </w:r>
      <w:r w:rsidR="0049090C" w:rsidRPr="002F4565">
        <w:rPr>
          <w:lang w:val="pt-BR"/>
        </w:rPr>
        <w:t>contexto alimentar</w:t>
      </w:r>
      <w:r w:rsidR="00E46F33" w:rsidRPr="002F4565">
        <w:rPr>
          <w:lang w:val="pt-BR"/>
        </w:rPr>
        <w:t xml:space="preserve"> não saudável</w:t>
      </w:r>
      <w:r w:rsidRPr="002F4565">
        <w:rPr>
          <w:lang w:val="pt-BR"/>
        </w:rPr>
        <w:t>.</w:t>
      </w:r>
    </w:p>
    <w:p w:rsidR="00115B91" w:rsidRPr="002F4565" w:rsidRDefault="00E46F33" w:rsidP="0051636A">
      <w:pPr>
        <w:spacing w:before="120" w:after="0" w:line="240" w:lineRule="auto"/>
        <w:rPr>
          <w:lang w:val="pt-BR"/>
        </w:rPr>
      </w:pPr>
      <w:r w:rsidRPr="002F4565">
        <w:rPr>
          <w:lang w:val="pt-BR"/>
        </w:rPr>
        <w:t>Além disso</w:t>
      </w:r>
      <w:r w:rsidR="00115B91" w:rsidRPr="002F4565">
        <w:rPr>
          <w:lang w:val="pt-BR"/>
        </w:rPr>
        <w:t xml:space="preserve">, </w:t>
      </w:r>
      <w:r w:rsidRPr="002F4565">
        <w:rPr>
          <w:lang w:val="pt-BR"/>
        </w:rPr>
        <w:t xml:space="preserve">a responsabilidade social corporativa </w:t>
      </w:r>
      <w:r w:rsidR="00F21F55" w:rsidRPr="002F4565">
        <w:rPr>
          <w:lang w:val="pt-BR"/>
        </w:rPr>
        <w:t>também</w:t>
      </w:r>
      <w:r w:rsidR="00115B91" w:rsidRPr="002F4565">
        <w:rPr>
          <w:lang w:val="pt-BR"/>
        </w:rPr>
        <w:t xml:space="preserve"> </w:t>
      </w:r>
      <w:r w:rsidRPr="002F4565">
        <w:rPr>
          <w:lang w:val="pt-BR"/>
        </w:rPr>
        <w:t xml:space="preserve">é usada pela grande </w:t>
      </w:r>
      <w:r w:rsidR="00802E44" w:rsidRPr="002F4565">
        <w:rPr>
          <w:lang w:val="pt-BR"/>
        </w:rPr>
        <w:t>indústria</w:t>
      </w:r>
      <w:r w:rsidR="00115B91" w:rsidRPr="002F4565">
        <w:rPr>
          <w:lang w:val="pt-BR"/>
        </w:rPr>
        <w:t xml:space="preserve"> </w:t>
      </w:r>
      <w:r w:rsidRPr="002F4565">
        <w:rPr>
          <w:lang w:val="pt-BR"/>
        </w:rPr>
        <w:t xml:space="preserve">de refrigerantes como meio para driblar as tentativas de </w:t>
      </w:r>
      <w:r w:rsidR="00F21F55" w:rsidRPr="002F4565">
        <w:rPr>
          <w:lang w:val="pt-BR"/>
        </w:rPr>
        <w:t>regulamentação</w:t>
      </w:r>
      <w:r w:rsidR="00115B91" w:rsidRPr="002F4565">
        <w:rPr>
          <w:lang w:val="pt-BR"/>
        </w:rPr>
        <w:t xml:space="preserve"> </w:t>
      </w:r>
      <w:r w:rsidRPr="002F4565">
        <w:rPr>
          <w:lang w:val="pt-BR"/>
        </w:rPr>
        <w:t xml:space="preserve">governamental </w:t>
      </w:r>
      <w:r w:rsidR="0049090C" w:rsidRPr="002F4565">
        <w:rPr>
          <w:lang w:val="pt-BR"/>
        </w:rPr>
        <w:t>e</w:t>
      </w:r>
      <w:r w:rsidR="00115B91" w:rsidRPr="002F4565">
        <w:rPr>
          <w:lang w:val="pt-BR"/>
        </w:rPr>
        <w:t xml:space="preserve"> </w:t>
      </w:r>
      <w:r w:rsidRPr="002F4565">
        <w:rPr>
          <w:lang w:val="pt-BR"/>
        </w:rPr>
        <w:t xml:space="preserve">aumentar as </w:t>
      </w:r>
      <w:r w:rsidR="007D3BE3" w:rsidRPr="002F4565">
        <w:rPr>
          <w:lang w:val="pt-BR"/>
        </w:rPr>
        <w:t>vendas</w:t>
      </w:r>
      <w:r w:rsidR="00115B91" w:rsidRPr="002F4565">
        <w:rPr>
          <w:lang w:val="pt-BR"/>
        </w:rPr>
        <w:t xml:space="preserve"> </w:t>
      </w:r>
      <w:r w:rsidR="0049090C" w:rsidRPr="002F4565">
        <w:rPr>
          <w:lang w:val="pt-BR"/>
        </w:rPr>
        <w:t>de</w:t>
      </w:r>
      <w:r w:rsidR="00115B91" w:rsidRPr="002F4565">
        <w:rPr>
          <w:lang w:val="pt-BR"/>
        </w:rPr>
        <w:t xml:space="preserve"> </w:t>
      </w:r>
      <w:r w:rsidRPr="002F4565">
        <w:rPr>
          <w:lang w:val="pt-BR"/>
        </w:rPr>
        <w:t xml:space="preserve">seus </w:t>
      </w:r>
      <w:r w:rsidR="00B5729E" w:rsidRPr="002F4565">
        <w:rPr>
          <w:lang w:val="pt-BR"/>
        </w:rPr>
        <w:t>produto</w:t>
      </w:r>
      <w:r w:rsidR="00115B91" w:rsidRPr="002F4565">
        <w:rPr>
          <w:lang w:val="pt-BR"/>
        </w:rPr>
        <w:t>s, parti</w:t>
      </w:r>
      <w:r w:rsidR="00FB4DE4" w:rsidRPr="002F4565">
        <w:rPr>
          <w:lang w:val="pt-BR"/>
        </w:rPr>
        <w:t>cularmente</w:t>
      </w:r>
      <w:r w:rsidR="00115B91" w:rsidRPr="002F4565">
        <w:rPr>
          <w:lang w:val="pt-BR"/>
        </w:rPr>
        <w:t xml:space="preserve"> </w:t>
      </w:r>
      <w:r w:rsidRPr="002F4565">
        <w:rPr>
          <w:lang w:val="pt-BR"/>
        </w:rPr>
        <w:t xml:space="preserve">para </w:t>
      </w:r>
      <w:proofErr w:type="gramStart"/>
      <w:r w:rsidR="00802E44" w:rsidRPr="002F4565">
        <w:rPr>
          <w:lang w:val="pt-BR"/>
        </w:rPr>
        <w:t>crianças</w:t>
      </w:r>
      <w:r w:rsidR="00115B91" w:rsidRPr="002F4565">
        <w:rPr>
          <w:lang w:val="pt-BR"/>
        </w:rPr>
        <w:t>.</w:t>
      </w:r>
      <w:proofErr w:type="gramEnd"/>
      <w:r w:rsidR="00115B91" w:rsidRPr="002F4565">
        <w:rPr>
          <w:vertAlign w:val="superscript"/>
          <w:lang w:val="pt-BR"/>
        </w:rPr>
        <w:t>48</w:t>
      </w:r>
      <w:r w:rsidR="00115B91" w:rsidRPr="002F4565">
        <w:rPr>
          <w:lang w:val="pt-BR"/>
        </w:rPr>
        <w:t xml:space="preserve"> </w:t>
      </w:r>
      <w:r w:rsidRPr="002F4565">
        <w:rPr>
          <w:lang w:val="pt-BR"/>
        </w:rPr>
        <w:t xml:space="preserve">Tais atos </w:t>
      </w:r>
      <w:r w:rsidR="00115B91" w:rsidRPr="002F4565">
        <w:rPr>
          <w:lang w:val="pt-BR"/>
        </w:rPr>
        <w:t>result</w:t>
      </w:r>
      <w:r w:rsidRPr="002F4565">
        <w:rPr>
          <w:lang w:val="pt-BR"/>
        </w:rPr>
        <w:t xml:space="preserve">am na </w:t>
      </w:r>
      <w:r w:rsidR="00115B91" w:rsidRPr="002F4565">
        <w:rPr>
          <w:lang w:val="pt-BR"/>
        </w:rPr>
        <w:t>neg</w:t>
      </w:r>
      <w:r w:rsidR="00F21F55" w:rsidRPr="002F4565">
        <w:rPr>
          <w:lang w:val="pt-BR"/>
        </w:rPr>
        <w:t>ação</w:t>
      </w:r>
      <w:r w:rsidR="00115B91" w:rsidRPr="002F4565">
        <w:rPr>
          <w:lang w:val="pt-BR"/>
        </w:rPr>
        <w:t xml:space="preserve"> </w:t>
      </w:r>
      <w:r w:rsidR="0049090C" w:rsidRPr="002F4565">
        <w:rPr>
          <w:lang w:val="pt-BR"/>
        </w:rPr>
        <w:t>d</w:t>
      </w:r>
      <w:r w:rsidR="00261A8A" w:rsidRPr="002F4565">
        <w:rPr>
          <w:lang w:val="pt-BR"/>
        </w:rPr>
        <w:t>o</w:t>
      </w:r>
      <w:r w:rsidR="00115B91" w:rsidRPr="002F4565">
        <w:rPr>
          <w:lang w:val="pt-BR"/>
        </w:rPr>
        <w:t xml:space="preserve"> </w:t>
      </w:r>
      <w:r w:rsidR="00F21F55" w:rsidRPr="002F4565">
        <w:rPr>
          <w:lang w:val="pt-BR"/>
        </w:rPr>
        <w:t>direito à saúde</w:t>
      </w:r>
      <w:r w:rsidR="00115B91" w:rsidRPr="002F4565">
        <w:rPr>
          <w:lang w:val="pt-BR"/>
        </w:rPr>
        <w:t>.</w:t>
      </w:r>
    </w:p>
    <w:p w:rsidR="00115B91" w:rsidRPr="002F4565" w:rsidRDefault="00115B91" w:rsidP="0051636A">
      <w:pPr>
        <w:spacing w:before="120" w:after="0" w:line="240" w:lineRule="auto"/>
        <w:rPr>
          <w:lang w:val="pt-BR"/>
        </w:rPr>
      </w:pPr>
      <w:r w:rsidRPr="002F4565">
        <w:rPr>
          <w:lang w:val="pt-BR"/>
        </w:rPr>
        <w:lastRenderedPageBreak/>
        <w:t xml:space="preserve">31. </w:t>
      </w:r>
      <w:r w:rsidR="00E46F33" w:rsidRPr="002F4565">
        <w:rPr>
          <w:lang w:val="pt-BR"/>
        </w:rPr>
        <w:t xml:space="preserve">Na medida em que a </w:t>
      </w:r>
      <w:r w:rsidR="00F21F55" w:rsidRPr="002F4565">
        <w:rPr>
          <w:lang w:val="pt-BR"/>
        </w:rPr>
        <w:t>indústria de alimentos</w:t>
      </w:r>
      <w:r w:rsidRPr="002F4565">
        <w:rPr>
          <w:lang w:val="pt-BR"/>
        </w:rPr>
        <w:t xml:space="preserve"> </w:t>
      </w:r>
      <w:r w:rsidR="00E46F33" w:rsidRPr="002F4565">
        <w:rPr>
          <w:lang w:val="pt-BR"/>
        </w:rPr>
        <w:t xml:space="preserve">desempenha um papel fundamental no </w:t>
      </w:r>
      <w:r w:rsidR="0049090C" w:rsidRPr="002F4565">
        <w:rPr>
          <w:lang w:val="pt-BR"/>
        </w:rPr>
        <w:t>contexto alimentar</w:t>
      </w:r>
      <w:r w:rsidRPr="002F4565">
        <w:rPr>
          <w:lang w:val="pt-BR"/>
        </w:rPr>
        <w:t xml:space="preserve"> </w:t>
      </w:r>
      <w:r w:rsidR="00E46F33" w:rsidRPr="002F4565">
        <w:rPr>
          <w:lang w:val="pt-BR"/>
        </w:rPr>
        <w:t xml:space="preserve">global </w:t>
      </w:r>
      <w:r w:rsidR="0049090C" w:rsidRPr="002F4565">
        <w:rPr>
          <w:lang w:val="pt-BR"/>
        </w:rPr>
        <w:t>e</w:t>
      </w:r>
      <w:r w:rsidRPr="002F4565">
        <w:rPr>
          <w:lang w:val="pt-BR"/>
        </w:rPr>
        <w:t xml:space="preserve"> </w:t>
      </w:r>
      <w:r w:rsidR="005A25F5" w:rsidRPr="002F4565">
        <w:rPr>
          <w:lang w:val="pt-BR"/>
        </w:rPr>
        <w:t>é</w:t>
      </w:r>
      <w:r w:rsidRPr="002F4565">
        <w:rPr>
          <w:lang w:val="pt-BR"/>
        </w:rPr>
        <w:t xml:space="preserve"> reco</w:t>
      </w:r>
      <w:r w:rsidR="00E46F33" w:rsidRPr="002F4565">
        <w:rPr>
          <w:lang w:val="pt-BR"/>
        </w:rPr>
        <w:t xml:space="preserve">nhecida como principal fator </w:t>
      </w:r>
      <w:r w:rsidR="00E72375" w:rsidRPr="002F4565">
        <w:rPr>
          <w:lang w:val="pt-BR"/>
        </w:rPr>
        <w:t xml:space="preserve">causador </w:t>
      </w:r>
      <w:r w:rsidR="0049090C" w:rsidRPr="002F4565">
        <w:rPr>
          <w:lang w:val="pt-BR"/>
        </w:rPr>
        <w:t>d</w:t>
      </w:r>
      <w:r w:rsidR="00E72375" w:rsidRPr="002F4565">
        <w:rPr>
          <w:lang w:val="pt-BR"/>
        </w:rPr>
        <w:t>as</w:t>
      </w:r>
      <w:r w:rsidRPr="002F4565">
        <w:rPr>
          <w:lang w:val="pt-BR"/>
        </w:rPr>
        <w:t xml:space="preserve"> </w:t>
      </w:r>
      <w:r w:rsidR="0049090C" w:rsidRPr="002F4565">
        <w:rPr>
          <w:lang w:val="pt-BR"/>
        </w:rPr>
        <w:t>DNTs relacionadas com a dieta</w:t>
      </w:r>
      <w:r w:rsidRPr="002F4565">
        <w:rPr>
          <w:lang w:val="pt-BR"/>
        </w:rPr>
        <w:t xml:space="preserve">, </w:t>
      </w:r>
      <w:r w:rsidR="00E46F33" w:rsidRPr="002F4565">
        <w:rPr>
          <w:lang w:val="pt-BR"/>
        </w:rPr>
        <w:t xml:space="preserve">tem </w:t>
      </w:r>
      <w:r w:rsidR="00765AF7" w:rsidRPr="002F4565">
        <w:rPr>
          <w:lang w:val="pt-BR"/>
        </w:rPr>
        <w:t>responsa</w:t>
      </w:r>
      <w:r w:rsidR="0049090C" w:rsidRPr="002F4565">
        <w:rPr>
          <w:lang w:val="pt-BR"/>
        </w:rPr>
        <w:t>bilidade</w:t>
      </w:r>
      <w:r w:rsidRPr="002F4565">
        <w:rPr>
          <w:lang w:val="pt-BR"/>
        </w:rPr>
        <w:t xml:space="preserve"> </w:t>
      </w:r>
      <w:r w:rsidR="00E72375" w:rsidRPr="002F4565">
        <w:rPr>
          <w:lang w:val="pt-BR"/>
        </w:rPr>
        <w:t xml:space="preserve">importante </w:t>
      </w:r>
      <w:r w:rsidR="00E46F33" w:rsidRPr="002F4565">
        <w:rPr>
          <w:lang w:val="pt-BR"/>
        </w:rPr>
        <w:t xml:space="preserve">de tomar medidas para o exercício do </w:t>
      </w:r>
      <w:r w:rsidR="00F21F55" w:rsidRPr="002F4565">
        <w:rPr>
          <w:lang w:val="pt-BR"/>
        </w:rPr>
        <w:t>direito à saúde</w:t>
      </w:r>
      <w:r w:rsidRPr="002F4565">
        <w:rPr>
          <w:lang w:val="pt-BR"/>
        </w:rPr>
        <w:t xml:space="preserve">. </w:t>
      </w:r>
      <w:r w:rsidR="00E46F33" w:rsidRPr="002F4565">
        <w:rPr>
          <w:lang w:val="pt-BR"/>
        </w:rPr>
        <w:t>Embora muitos desafio</w:t>
      </w:r>
      <w:r w:rsidRPr="002F4565">
        <w:rPr>
          <w:lang w:val="pt-BR"/>
        </w:rPr>
        <w:t xml:space="preserve">s </w:t>
      </w:r>
      <w:r w:rsidR="00E46F33" w:rsidRPr="002F4565">
        <w:rPr>
          <w:lang w:val="pt-BR"/>
        </w:rPr>
        <w:t xml:space="preserve">com que se confronta o </w:t>
      </w:r>
      <w:r w:rsidR="00B5729E" w:rsidRPr="002F4565">
        <w:rPr>
          <w:lang w:val="pt-BR"/>
        </w:rPr>
        <w:t>sistema alimentar</w:t>
      </w:r>
      <w:r w:rsidRPr="002F4565">
        <w:rPr>
          <w:lang w:val="pt-BR"/>
        </w:rPr>
        <w:t xml:space="preserve">, </w:t>
      </w:r>
      <w:r w:rsidR="00E46F33" w:rsidRPr="002F4565">
        <w:rPr>
          <w:lang w:val="pt-BR"/>
        </w:rPr>
        <w:t>como as pressões ambientais como a seca e inundações</w:t>
      </w:r>
      <w:r w:rsidRPr="002F4565">
        <w:rPr>
          <w:lang w:val="pt-BR"/>
        </w:rPr>
        <w:t xml:space="preserve">, </w:t>
      </w:r>
      <w:r w:rsidR="00E46F33" w:rsidRPr="002F4565">
        <w:rPr>
          <w:lang w:val="pt-BR"/>
        </w:rPr>
        <w:t>est</w:t>
      </w:r>
      <w:r w:rsidR="0040430A" w:rsidRPr="002F4565">
        <w:rPr>
          <w:lang w:val="pt-BR"/>
        </w:rPr>
        <w:t>ão</w:t>
      </w:r>
      <w:r w:rsidRPr="002F4565">
        <w:rPr>
          <w:lang w:val="pt-BR"/>
        </w:rPr>
        <w:t xml:space="preserve"> </w:t>
      </w:r>
      <w:r w:rsidR="00E46F33" w:rsidRPr="002F4565">
        <w:rPr>
          <w:lang w:val="pt-BR"/>
        </w:rPr>
        <w:t xml:space="preserve">fora do controle da </w:t>
      </w:r>
      <w:r w:rsidR="00F21F55" w:rsidRPr="002F4565">
        <w:rPr>
          <w:lang w:val="pt-BR"/>
        </w:rPr>
        <w:t>indústria de alimentos</w:t>
      </w:r>
      <w:r w:rsidRPr="002F4565">
        <w:rPr>
          <w:lang w:val="pt-BR"/>
        </w:rPr>
        <w:t xml:space="preserve">, </w:t>
      </w:r>
      <w:r w:rsidR="00E46F33" w:rsidRPr="002F4565">
        <w:rPr>
          <w:lang w:val="pt-BR"/>
        </w:rPr>
        <w:t>há</w:t>
      </w:r>
      <w:r w:rsidRPr="002F4565">
        <w:rPr>
          <w:lang w:val="pt-BR"/>
        </w:rPr>
        <w:t xml:space="preserve"> </w:t>
      </w:r>
      <w:r w:rsidR="00E46F33" w:rsidRPr="002F4565">
        <w:rPr>
          <w:lang w:val="pt-BR"/>
        </w:rPr>
        <w:t xml:space="preserve">várias </w:t>
      </w:r>
      <w:r w:rsidR="007D4857" w:rsidRPr="002F4565">
        <w:rPr>
          <w:lang w:val="pt-BR"/>
        </w:rPr>
        <w:t>áreas</w:t>
      </w:r>
      <w:r w:rsidRPr="002F4565">
        <w:rPr>
          <w:lang w:val="pt-BR"/>
        </w:rPr>
        <w:t xml:space="preserve"> </w:t>
      </w:r>
      <w:r w:rsidR="00E46F33" w:rsidRPr="002F4565">
        <w:rPr>
          <w:lang w:val="pt-BR"/>
        </w:rPr>
        <w:t>em que o sistema pode ter i</w:t>
      </w:r>
      <w:r w:rsidR="00802E44" w:rsidRPr="002F4565">
        <w:rPr>
          <w:lang w:val="pt-BR"/>
        </w:rPr>
        <w:t>mpacto</w:t>
      </w:r>
      <w:r w:rsidRPr="002F4565">
        <w:rPr>
          <w:lang w:val="pt-BR"/>
        </w:rPr>
        <w:t xml:space="preserve"> </w:t>
      </w:r>
      <w:r w:rsidR="00E46F33" w:rsidRPr="002F4565">
        <w:rPr>
          <w:lang w:val="pt-BR"/>
        </w:rPr>
        <w:t xml:space="preserve">positivo na </w:t>
      </w:r>
      <w:r w:rsidR="0049090C" w:rsidRPr="002F4565">
        <w:rPr>
          <w:lang w:val="pt-BR"/>
        </w:rPr>
        <w:t>saúde</w:t>
      </w:r>
      <w:r w:rsidRPr="002F4565">
        <w:rPr>
          <w:lang w:val="pt-BR"/>
        </w:rPr>
        <w:t xml:space="preserve"> </w:t>
      </w:r>
      <w:r w:rsidR="00E46F33" w:rsidRPr="002F4565">
        <w:rPr>
          <w:lang w:val="pt-BR"/>
        </w:rPr>
        <w:t xml:space="preserve">ao investir </w:t>
      </w:r>
      <w:r w:rsidR="0049090C" w:rsidRPr="002F4565">
        <w:rPr>
          <w:lang w:val="pt-BR"/>
        </w:rPr>
        <w:t>e</w:t>
      </w:r>
      <w:r w:rsidRPr="002F4565">
        <w:rPr>
          <w:lang w:val="pt-BR"/>
        </w:rPr>
        <w:t xml:space="preserve"> influenci</w:t>
      </w:r>
      <w:r w:rsidR="00E46F33" w:rsidRPr="002F4565">
        <w:rPr>
          <w:lang w:val="pt-BR"/>
        </w:rPr>
        <w:t xml:space="preserve">ar </w:t>
      </w:r>
      <w:r w:rsidR="00C47496" w:rsidRPr="002F4565">
        <w:rPr>
          <w:lang w:val="pt-BR"/>
        </w:rPr>
        <w:t>escolhas</w:t>
      </w:r>
      <w:r w:rsidR="00E46F33" w:rsidRPr="002F4565">
        <w:rPr>
          <w:lang w:val="pt-BR"/>
        </w:rPr>
        <w:t xml:space="preserve"> de alimentos mais saudáveis</w:t>
      </w:r>
      <w:r w:rsidRPr="002F4565">
        <w:rPr>
          <w:lang w:val="pt-BR"/>
        </w:rPr>
        <w:t xml:space="preserve">. </w:t>
      </w:r>
      <w:r w:rsidR="00E46F33" w:rsidRPr="002F4565">
        <w:rPr>
          <w:lang w:val="pt-BR"/>
        </w:rPr>
        <w:t>Para esta finalidade</w:t>
      </w:r>
      <w:r w:rsidRPr="002F4565">
        <w:rPr>
          <w:lang w:val="pt-BR"/>
        </w:rPr>
        <w:t xml:space="preserve">, </w:t>
      </w:r>
      <w:r w:rsidR="00E46F33" w:rsidRPr="002F4565">
        <w:rPr>
          <w:lang w:val="pt-BR"/>
        </w:rPr>
        <w:t>a</w:t>
      </w:r>
      <w:r w:rsidRPr="002F4565">
        <w:rPr>
          <w:lang w:val="pt-BR"/>
        </w:rPr>
        <w:t xml:space="preserve"> </w:t>
      </w:r>
      <w:r w:rsidR="00802E44" w:rsidRPr="002F4565">
        <w:rPr>
          <w:lang w:val="pt-BR"/>
        </w:rPr>
        <w:t>indústria</w:t>
      </w:r>
      <w:r w:rsidRPr="002F4565">
        <w:rPr>
          <w:lang w:val="pt-BR"/>
        </w:rPr>
        <w:t xml:space="preserve"> </w:t>
      </w:r>
      <w:r w:rsidR="002E1AA7" w:rsidRPr="002F4565">
        <w:rPr>
          <w:lang w:val="pt-BR"/>
        </w:rPr>
        <w:t>deve</w:t>
      </w:r>
      <w:r w:rsidRPr="002F4565">
        <w:rPr>
          <w:lang w:val="pt-BR"/>
        </w:rPr>
        <w:t xml:space="preserve"> consider</w:t>
      </w:r>
      <w:r w:rsidR="00E46F33" w:rsidRPr="002F4565">
        <w:rPr>
          <w:lang w:val="pt-BR"/>
        </w:rPr>
        <w:t>ar</w:t>
      </w:r>
      <w:r w:rsidRPr="002F4565">
        <w:rPr>
          <w:lang w:val="pt-BR"/>
        </w:rPr>
        <w:t xml:space="preserve"> </w:t>
      </w:r>
      <w:r w:rsidR="00E46F33" w:rsidRPr="002F4565">
        <w:rPr>
          <w:lang w:val="pt-BR"/>
        </w:rPr>
        <w:t xml:space="preserve">a adoção de </w:t>
      </w:r>
      <w:r w:rsidR="003C09F9" w:rsidRPr="002F4565">
        <w:rPr>
          <w:lang w:val="pt-BR"/>
        </w:rPr>
        <w:t>padrões</w:t>
      </w:r>
      <w:r w:rsidRPr="002F4565">
        <w:rPr>
          <w:lang w:val="pt-BR"/>
        </w:rPr>
        <w:t xml:space="preserve"> </w:t>
      </w:r>
      <w:r w:rsidR="00E46F33" w:rsidRPr="002F4565">
        <w:rPr>
          <w:lang w:val="pt-BR"/>
        </w:rPr>
        <w:t xml:space="preserve">para melhorar a </w:t>
      </w:r>
      <w:r w:rsidRPr="002F4565">
        <w:rPr>
          <w:lang w:val="pt-BR"/>
        </w:rPr>
        <w:t>qu</w:t>
      </w:r>
      <w:r w:rsidR="0040430A" w:rsidRPr="002F4565">
        <w:rPr>
          <w:lang w:val="pt-BR"/>
        </w:rPr>
        <w:t>alidade</w:t>
      </w:r>
      <w:r w:rsidRPr="002F4565">
        <w:rPr>
          <w:lang w:val="pt-BR"/>
        </w:rPr>
        <w:t xml:space="preserve"> </w:t>
      </w:r>
      <w:r w:rsidR="00E46F33" w:rsidRPr="002F4565">
        <w:rPr>
          <w:lang w:val="pt-BR"/>
        </w:rPr>
        <w:t xml:space="preserve">nutricional </w:t>
      </w:r>
      <w:r w:rsidR="0049090C" w:rsidRPr="002F4565">
        <w:rPr>
          <w:lang w:val="pt-BR"/>
        </w:rPr>
        <w:t>d</w:t>
      </w:r>
      <w:r w:rsidR="00E46F33" w:rsidRPr="002F4565">
        <w:rPr>
          <w:lang w:val="pt-BR"/>
        </w:rPr>
        <w:t>os</w:t>
      </w:r>
      <w:r w:rsidRPr="002F4565">
        <w:rPr>
          <w:lang w:val="pt-BR"/>
        </w:rPr>
        <w:t xml:space="preserve"> </w:t>
      </w:r>
      <w:r w:rsidR="00261A8A" w:rsidRPr="002F4565">
        <w:rPr>
          <w:lang w:val="pt-BR"/>
        </w:rPr>
        <w:t>alimentos</w:t>
      </w:r>
      <w:r w:rsidRPr="002F4565">
        <w:rPr>
          <w:lang w:val="pt-BR"/>
        </w:rPr>
        <w:t xml:space="preserve"> </w:t>
      </w:r>
      <w:r w:rsidR="00E46F33" w:rsidRPr="002F4565">
        <w:rPr>
          <w:lang w:val="pt-BR"/>
        </w:rPr>
        <w:t xml:space="preserve">por meio da </w:t>
      </w:r>
      <w:r w:rsidRPr="002F4565">
        <w:rPr>
          <w:lang w:val="pt-BR"/>
        </w:rPr>
        <w:t>reformul</w:t>
      </w:r>
      <w:r w:rsidR="00F21F55" w:rsidRPr="002F4565">
        <w:rPr>
          <w:lang w:val="pt-BR"/>
        </w:rPr>
        <w:t>ação</w:t>
      </w:r>
      <w:r w:rsidRPr="002F4565">
        <w:rPr>
          <w:lang w:val="pt-BR"/>
        </w:rPr>
        <w:t xml:space="preserve"> </w:t>
      </w:r>
      <w:r w:rsidR="00E46F33" w:rsidRPr="002F4565">
        <w:rPr>
          <w:lang w:val="pt-BR"/>
        </w:rPr>
        <w:t xml:space="preserve">dos produtos </w:t>
      </w:r>
      <w:r w:rsidR="0049090C" w:rsidRPr="002F4565">
        <w:rPr>
          <w:lang w:val="pt-BR"/>
        </w:rPr>
        <w:t>e</w:t>
      </w:r>
      <w:r w:rsidRPr="002F4565">
        <w:rPr>
          <w:lang w:val="pt-BR"/>
        </w:rPr>
        <w:t xml:space="preserve"> </w:t>
      </w:r>
      <w:r w:rsidR="00E46F33" w:rsidRPr="002F4565">
        <w:rPr>
          <w:lang w:val="pt-BR"/>
        </w:rPr>
        <w:t xml:space="preserve">deve melhorar a </w:t>
      </w:r>
      <w:r w:rsidR="00072E1E" w:rsidRPr="002F4565">
        <w:rPr>
          <w:lang w:val="pt-BR"/>
        </w:rPr>
        <w:t>rotulagem</w:t>
      </w:r>
      <w:r w:rsidRPr="002F4565">
        <w:rPr>
          <w:lang w:val="pt-BR"/>
        </w:rPr>
        <w:t xml:space="preserve"> </w:t>
      </w:r>
      <w:r w:rsidR="0049090C" w:rsidRPr="002F4565">
        <w:rPr>
          <w:lang w:val="pt-BR"/>
        </w:rPr>
        <w:t>e</w:t>
      </w:r>
      <w:r w:rsidRPr="002F4565">
        <w:rPr>
          <w:lang w:val="pt-BR"/>
        </w:rPr>
        <w:t xml:space="preserve"> </w:t>
      </w:r>
      <w:r w:rsidR="00F21F55" w:rsidRPr="002F4565">
        <w:rPr>
          <w:lang w:val="pt-BR"/>
        </w:rPr>
        <w:t>informações</w:t>
      </w:r>
      <w:r w:rsidRPr="002F4565">
        <w:rPr>
          <w:lang w:val="pt-BR"/>
        </w:rPr>
        <w:t xml:space="preserve"> </w:t>
      </w:r>
      <w:r w:rsidR="00E46F33" w:rsidRPr="002F4565">
        <w:rPr>
          <w:lang w:val="pt-BR"/>
        </w:rPr>
        <w:t xml:space="preserve">em seus </w:t>
      </w:r>
      <w:r w:rsidR="00B5729E" w:rsidRPr="002F4565">
        <w:rPr>
          <w:lang w:val="pt-BR"/>
        </w:rPr>
        <w:t>produto</w:t>
      </w:r>
      <w:r w:rsidRPr="002F4565">
        <w:rPr>
          <w:lang w:val="pt-BR"/>
        </w:rPr>
        <w:t xml:space="preserve">s </w:t>
      </w:r>
      <w:r w:rsidR="00E46F33" w:rsidRPr="002F4565">
        <w:rPr>
          <w:lang w:val="pt-BR"/>
        </w:rPr>
        <w:t xml:space="preserve">para </w:t>
      </w:r>
      <w:r w:rsidRPr="002F4565">
        <w:rPr>
          <w:lang w:val="pt-BR"/>
        </w:rPr>
        <w:t>contribu</w:t>
      </w:r>
      <w:r w:rsidR="00E46F33" w:rsidRPr="002F4565">
        <w:rPr>
          <w:lang w:val="pt-BR"/>
        </w:rPr>
        <w:t xml:space="preserve">ir com </w:t>
      </w:r>
      <w:r w:rsidR="0040430A" w:rsidRPr="002F4565">
        <w:rPr>
          <w:lang w:val="pt-BR"/>
        </w:rPr>
        <w:t>dietas</w:t>
      </w:r>
      <w:r w:rsidR="00BF5705" w:rsidRPr="002F4565">
        <w:rPr>
          <w:lang w:val="pt-BR"/>
        </w:rPr>
        <w:t xml:space="preserve"> mais saudáveis</w:t>
      </w:r>
      <w:r w:rsidRPr="002F4565">
        <w:rPr>
          <w:lang w:val="pt-BR"/>
        </w:rPr>
        <w:t xml:space="preserve">. </w:t>
      </w:r>
      <w:r w:rsidR="00BF5705" w:rsidRPr="002F4565">
        <w:rPr>
          <w:lang w:val="pt-BR"/>
        </w:rPr>
        <w:t xml:space="preserve">A </w:t>
      </w:r>
      <w:r w:rsidR="00F21F55" w:rsidRPr="002F4565">
        <w:rPr>
          <w:lang w:val="pt-BR"/>
        </w:rPr>
        <w:t>indústria de alimentos</w:t>
      </w:r>
      <w:r w:rsidRPr="002F4565">
        <w:rPr>
          <w:lang w:val="pt-BR"/>
        </w:rPr>
        <w:t xml:space="preserve"> </w:t>
      </w:r>
      <w:r w:rsidR="002E1AA7" w:rsidRPr="002F4565">
        <w:rPr>
          <w:lang w:val="pt-BR"/>
        </w:rPr>
        <w:t>deve</w:t>
      </w:r>
      <w:r w:rsidRPr="002F4565">
        <w:rPr>
          <w:lang w:val="pt-BR"/>
        </w:rPr>
        <w:t xml:space="preserve"> </w:t>
      </w:r>
      <w:r w:rsidR="00F21F55" w:rsidRPr="002F4565">
        <w:rPr>
          <w:lang w:val="pt-BR"/>
        </w:rPr>
        <w:t>também</w:t>
      </w:r>
      <w:r w:rsidRPr="002F4565">
        <w:rPr>
          <w:lang w:val="pt-BR"/>
        </w:rPr>
        <w:t xml:space="preserve"> invest</w:t>
      </w:r>
      <w:r w:rsidR="00BF5705" w:rsidRPr="002F4565">
        <w:rPr>
          <w:lang w:val="pt-BR"/>
        </w:rPr>
        <w:t>ir</w:t>
      </w:r>
      <w:r w:rsidRPr="002F4565">
        <w:rPr>
          <w:lang w:val="pt-BR"/>
        </w:rPr>
        <w:t xml:space="preserve"> </w:t>
      </w:r>
      <w:r w:rsidR="00FB4DE4" w:rsidRPr="002F4565">
        <w:rPr>
          <w:lang w:val="pt-BR"/>
        </w:rPr>
        <w:t>em</w:t>
      </w:r>
      <w:r w:rsidRPr="002F4565">
        <w:rPr>
          <w:lang w:val="pt-BR"/>
        </w:rPr>
        <w:t xml:space="preserve"> </w:t>
      </w:r>
      <w:r w:rsidR="00BF5705" w:rsidRPr="002F4565">
        <w:rPr>
          <w:lang w:val="pt-BR"/>
        </w:rPr>
        <w:t>pesquisas</w:t>
      </w:r>
      <w:r w:rsidRPr="002F4565">
        <w:rPr>
          <w:lang w:val="pt-BR"/>
        </w:rPr>
        <w:t xml:space="preserve"> </w:t>
      </w:r>
      <w:r w:rsidR="00BF5705" w:rsidRPr="002F4565">
        <w:rPr>
          <w:lang w:val="pt-BR"/>
        </w:rPr>
        <w:t xml:space="preserve">para melhorar o teor </w:t>
      </w:r>
      <w:r w:rsidR="0040430A" w:rsidRPr="002F4565">
        <w:rPr>
          <w:lang w:val="pt-BR"/>
        </w:rPr>
        <w:t>nutricional</w:t>
      </w:r>
      <w:r w:rsidRPr="002F4565">
        <w:rPr>
          <w:lang w:val="pt-BR"/>
        </w:rPr>
        <w:t xml:space="preserve"> </w:t>
      </w:r>
      <w:r w:rsidR="0049090C" w:rsidRPr="002F4565">
        <w:rPr>
          <w:lang w:val="pt-BR"/>
        </w:rPr>
        <w:t>de</w:t>
      </w:r>
      <w:r w:rsidRPr="002F4565">
        <w:rPr>
          <w:lang w:val="pt-BR"/>
        </w:rPr>
        <w:t xml:space="preserve"> </w:t>
      </w:r>
      <w:r w:rsidR="00BF5705" w:rsidRPr="002F4565">
        <w:rPr>
          <w:lang w:val="pt-BR"/>
        </w:rPr>
        <w:t xml:space="preserve">seus </w:t>
      </w:r>
      <w:r w:rsidR="00B5729E" w:rsidRPr="002F4565">
        <w:rPr>
          <w:lang w:val="pt-BR"/>
        </w:rPr>
        <w:t>produto</w:t>
      </w:r>
      <w:r w:rsidRPr="002F4565">
        <w:rPr>
          <w:lang w:val="pt-BR"/>
        </w:rPr>
        <w:t>s</w:t>
      </w:r>
      <w:r w:rsidR="00BF5705" w:rsidRPr="002F4565">
        <w:rPr>
          <w:lang w:val="pt-BR"/>
        </w:rPr>
        <w:t xml:space="preserve">, em lugar de investir </w:t>
      </w:r>
      <w:r w:rsidR="00FB4DE4" w:rsidRPr="002F4565">
        <w:rPr>
          <w:lang w:val="pt-BR"/>
        </w:rPr>
        <w:t>em</w:t>
      </w:r>
      <w:r w:rsidRPr="002F4565">
        <w:rPr>
          <w:lang w:val="pt-BR"/>
        </w:rPr>
        <w:t xml:space="preserve"> </w:t>
      </w:r>
      <w:r w:rsidR="00BF5705" w:rsidRPr="002F4565">
        <w:rPr>
          <w:lang w:val="pt-BR"/>
        </w:rPr>
        <w:t xml:space="preserve">aumentar a capacidade de comercialização dos </w:t>
      </w:r>
      <w:r w:rsidR="00B5729E" w:rsidRPr="002F4565">
        <w:rPr>
          <w:lang w:val="pt-BR"/>
        </w:rPr>
        <w:t>produto</w:t>
      </w:r>
      <w:r w:rsidRPr="002F4565">
        <w:rPr>
          <w:lang w:val="pt-BR"/>
        </w:rPr>
        <w:t>s</w:t>
      </w:r>
      <w:r w:rsidR="00BF5705" w:rsidRPr="002F4565">
        <w:rPr>
          <w:lang w:val="pt-BR"/>
        </w:rPr>
        <w:t xml:space="preserve"> </w:t>
      </w:r>
      <w:proofErr w:type="gramStart"/>
      <w:r w:rsidR="00BF5705" w:rsidRPr="002F4565">
        <w:rPr>
          <w:lang w:val="pt-BR"/>
        </w:rPr>
        <w:t>existentes</w:t>
      </w:r>
      <w:r w:rsidRPr="002F4565">
        <w:rPr>
          <w:lang w:val="pt-BR"/>
        </w:rPr>
        <w:t>.</w:t>
      </w:r>
      <w:proofErr w:type="gramEnd"/>
      <w:r w:rsidRPr="002F4565">
        <w:rPr>
          <w:vertAlign w:val="superscript"/>
          <w:lang w:val="pt-BR"/>
        </w:rPr>
        <w:t>49</w:t>
      </w:r>
      <w:r w:rsidRPr="002F4565">
        <w:rPr>
          <w:lang w:val="pt-BR"/>
        </w:rPr>
        <w:t xml:space="preserve"> </w:t>
      </w:r>
      <w:r w:rsidR="00BF5705" w:rsidRPr="002F4565">
        <w:rPr>
          <w:lang w:val="pt-BR"/>
        </w:rPr>
        <w:t>Além disso</w:t>
      </w:r>
      <w:r w:rsidRPr="002F4565">
        <w:rPr>
          <w:lang w:val="pt-BR"/>
        </w:rPr>
        <w:t xml:space="preserve">, </w:t>
      </w:r>
      <w:r w:rsidR="00BF5705" w:rsidRPr="002F4565">
        <w:rPr>
          <w:lang w:val="pt-BR"/>
        </w:rPr>
        <w:t xml:space="preserve">os </w:t>
      </w:r>
      <w:r w:rsidR="00FB4401" w:rsidRPr="002F4565">
        <w:rPr>
          <w:lang w:val="pt-BR"/>
        </w:rPr>
        <w:t>supermercado</w:t>
      </w:r>
      <w:r w:rsidRPr="002F4565">
        <w:rPr>
          <w:lang w:val="pt-BR"/>
        </w:rPr>
        <w:t xml:space="preserve">s </w:t>
      </w:r>
      <w:r w:rsidR="0049090C" w:rsidRPr="002F4565">
        <w:rPr>
          <w:lang w:val="pt-BR"/>
        </w:rPr>
        <w:t>e</w:t>
      </w:r>
      <w:r w:rsidRPr="002F4565">
        <w:rPr>
          <w:lang w:val="pt-BR"/>
        </w:rPr>
        <w:t xml:space="preserve"> restaurant</w:t>
      </w:r>
      <w:r w:rsidR="00BF5705" w:rsidRPr="002F4565">
        <w:rPr>
          <w:lang w:val="pt-BR"/>
        </w:rPr>
        <w:t>e</w:t>
      </w:r>
      <w:r w:rsidRPr="002F4565">
        <w:rPr>
          <w:lang w:val="pt-BR"/>
        </w:rPr>
        <w:t xml:space="preserve">s </w:t>
      </w:r>
      <w:r w:rsidR="00BF5705" w:rsidRPr="002F4565">
        <w:rPr>
          <w:lang w:val="pt-BR"/>
        </w:rPr>
        <w:t xml:space="preserve">de </w:t>
      </w:r>
      <w:r w:rsidR="00BF5705" w:rsidRPr="002F4565">
        <w:rPr>
          <w:i/>
          <w:lang w:val="pt-BR"/>
        </w:rPr>
        <w:t>fast food</w:t>
      </w:r>
      <w:r w:rsidR="00BF5705" w:rsidRPr="002F4565">
        <w:rPr>
          <w:lang w:val="pt-BR"/>
        </w:rPr>
        <w:t xml:space="preserve"> </w:t>
      </w:r>
      <w:r w:rsidR="002E1AA7" w:rsidRPr="002F4565">
        <w:rPr>
          <w:lang w:val="pt-BR"/>
        </w:rPr>
        <w:t>devem</w:t>
      </w:r>
      <w:r w:rsidRPr="002F4565">
        <w:rPr>
          <w:lang w:val="pt-BR"/>
        </w:rPr>
        <w:t xml:space="preserve"> </w:t>
      </w:r>
      <w:r w:rsidR="00BF5705" w:rsidRPr="002F4565">
        <w:rPr>
          <w:lang w:val="pt-BR"/>
        </w:rPr>
        <w:t xml:space="preserve">tomar medidas para comercializar </w:t>
      </w:r>
      <w:r w:rsidR="0049090C" w:rsidRPr="002F4565">
        <w:rPr>
          <w:lang w:val="pt-BR"/>
        </w:rPr>
        <w:t>e</w:t>
      </w:r>
      <w:r w:rsidRPr="002F4565">
        <w:rPr>
          <w:lang w:val="pt-BR"/>
        </w:rPr>
        <w:t xml:space="preserve"> promo</w:t>
      </w:r>
      <w:r w:rsidR="00BF5705" w:rsidRPr="002F4565">
        <w:rPr>
          <w:lang w:val="pt-BR"/>
        </w:rPr>
        <w:t xml:space="preserve">ver </w:t>
      </w:r>
      <w:r w:rsidR="00F21F55" w:rsidRPr="002F4565">
        <w:rPr>
          <w:lang w:val="pt-BR"/>
        </w:rPr>
        <w:t>opções</w:t>
      </w:r>
      <w:r w:rsidR="00BF5705" w:rsidRPr="002F4565">
        <w:rPr>
          <w:lang w:val="pt-BR"/>
        </w:rPr>
        <w:t xml:space="preserve"> mais saudáveis</w:t>
      </w:r>
      <w:r w:rsidRPr="002F4565">
        <w:rPr>
          <w:lang w:val="pt-BR"/>
        </w:rPr>
        <w:t xml:space="preserve">. </w:t>
      </w:r>
      <w:r w:rsidR="007D3BE3" w:rsidRPr="002F4565">
        <w:rPr>
          <w:lang w:val="pt-BR"/>
        </w:rPr>
        <w:t>Por exemplo</w:t>
      </w:r>
      <w:r w:rsidRPr="002F4565">
        <w:rPr>
          <w:lang w:val="pt-BR"/>
        </w:rPr>
        <w:t xml:space="preserve">, </w:t>
      </w:r>
      <w:r w:rsidR="00BF5705" w:rsidRPr="002F4565">
        <w:rPr>
          <w:lang w:val="pt-BR"/>
        </w:rPr>
        <w:t xml:space="preserve">além de informar o nível de calorias das refeições nos </w:t>
      </w:r>
      <w:r w:rsidRPr="002F4565">
        <w:rPr>
          <w:lang w:val="pt-BR"/>
        </w:rPr>
        <w:t>menu</w:t>
      </w:r>
      <w:r w:rsidR="00BF5705" w:rsidRPr="002F4565">
        <w:rPr>
          <w:lang w:val="pt-BR"/>
        </w:rPr>
        <w:t>s</w:t>
      </w:r>
      <w:r w:rsidRPr="002F4565">
        <w:rPr>
          <w:lang w:val="pt-BR"/>
        </w:rPr>
        <w:t xml:space="preserve">, </w:t>
      </w:r>
      <w:r w:rsidR="00BF5705" w:rsidRPr="002F4565">
        <w:rPr>
          <w:lang w:val="pt-BR"/>
        </w:rPr>
        <w:t xml:space="preserve">os restaurantes de </w:t>
      </w:r>
      <w:r w:rsidR="00BF5705" w:rsidRPr="002F4565">
        <w:rPr>
          <w:i/>
          <w:lang w:val="pt-BR"/>
        </w:rPr>
        <w:t>fast food</w:t>
      </w:r>
      <w:r w:rsidR="00BF5705" w:rsidRPr="002F4565">
        <w:rPr>
          <w:lang w:val="pt-BR"/>
        </w:rPr>
        <w:t xml:space="preserve"> </w:t>
      </w:r>
      <w:r w:rsidR="002E1AA7" w:rsidRPr="002F4565">
        <w:rPr>
          <w:lang w:val="pt-BR"/>
        </w:rPr>
        <w:t>devem</w:t>
      </w:r>
      <w:r w:rsidRPr="002F4565">
        <w:rPr>
          <w:lang w:val="pt-BR"/>
        </w:rPr>
        <w:t xml:space="preserve"> </w:t>
      </w:r>
      <w:r w:rsidR="00072E1E" w:rsidRPr="002F4565">
        <w:rPr>
          <w:lang w:val="pt-BR"/>
        </w:rPr>
        <w:t>adotar</w:t>
      </w:r>
      <w:r w:rsidRPr="002F4565">
        <w:rPr>
          <w:lang w:val="pt-BR"/>
        </w:rPr>
        <w:t xml:space="preserve"> </w:t>
      </w:r>
      <w:r w:rsidR="00BF5705" w:rsidRPr="002F4565">
        <w:rPr>
          <w:lang w:val="pt-BR"/>
        </w:rPr>
        <w:t xml:space="preserve">modelos de perfis de nutrição apropriados </w:t>
      </w:r>
      <w:r w:rsidR="006A31E1" w:rsidRPr="002F4565">
        <w:rPr>
          <w:lang w:val="pt-BR"/>
        </w:rPr>
        <w:t>que</w:t>
      </w:r>
      <w:r w:rsidRPr="002F4565">
        <w:rPr>
          <w:lang w:val="pt-BR"/>
        </w:rPr>
        <w:t xml:space="preserve"> indi</w:t>
      </w:r>
      <w:r w:rsidR="00BF5705" w:rsidRPr="002F4565">
        <w:rPr>
          <w:lang w:val="pt-BR"/>
        </w:rPr>
        <w:t>quem a</w:t>
      </w:r>
      <w:r w:rsidRPr="002F4565">
        <w:rPr>
          <w:lang w:val="pt-BR"/>
        </w:rPr>
        <w:t xml:space="preserve"> </w:t>
      </w:r>
      <w:r w:rsidR="00072E1E" w:rsidRPr="002F4565">
        <w:rPr>
          <w:lang w:val="pt-BR"/>
        </w:rPr>
        <w:t>composição</w:t>
      </w:r>
      <w:r w:rsidRPr="002F4565">
        <w:rPr>
          <w:lang w:val="pt-BR"/>
        </w:rPr>
        <w:t xml:space="preserve"> </w:t>
      </w:r>
      <w:r w:rsidR="00BF5705" w:rsidRPr="002F4565">
        <w:rPr>
          <w:lang w:val="pt-BR"/>
        </w:rPr>
        <w:t xml:space="preserve">nutricional dos </w:t>
      </w:r>
      <w:r w:rsidR="00261A8A" w:rsidRPr="002F4565">
        <w:rPr>
          <w:lang w:val="pt-BR"/>
        </w:rPr>
        <w:t>alimentos</w:t>
      </w:r>
      <w:r w:rsidRPr="002F4565">
        <w:rPr>
          <w:lang w:val="pt-BR"/>
        </w:rPr>
        <w:t xml:space="preserve"> </w:t>
      </w:r>
      <w:r w:rsidR="00B5729E" w:rsidRPr="002F4565">
        <w:rPr>
          <w:lang w:val="pt-BR"/>
        </w:rPr>
        <w:t>disponíveis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32. </w:t>
      </w:r>
      <w:r w:rsidR="00BF5705" w:rsidRPr="002F4565">
        <w:rPr>
          <w:lang w:val="pt-BR"/>
        </w:rPr>
        <w:t xml:space="preserve">Ao cumprir a </w:t>
      </w:r>
      <w:r w:rsidR="00765AF7" w:rsidRPr="002F4565">
        <w:rPr>
          <w:lang w:val="pt-BR"/>
        </w:rPr>
        <w:t>responsa</w:t>
      </w:r>
      <w:r w:rsidR="0049090C" w:rsidRPr="002F4565">
        <w:rPr>
          <w:lang w:val="pt-BR"/>
        </w:rPr>
        <w:t>bilidade</w:t>
      </w:r>
      <w:r w:rsidRPr="002F4565">
        <w:rPr>
          <w:lang w:val="pt-BR"/>
        </w:rPr>
        <w:t xml:space="preserve"> </w:t>
      </w:r>
      <w:r w:rsidR="00BF5705" w:rsidRPr="002F4565">
        <w:rPr>
          <w:lang w:val="pt-BR"/>
        </w:rPr>
        <w:t>de</w:t>
      </w:r>
      <w:r w:rsidRPr="002F4565">
        <w:rPr>
          <w:lang w:val="pt-BR"/>
        </w:rPr>
        <w:t xml:space="preserve"> </w:t>
      </w:r>
      <w:r w:rsidR="00F21F55" w:rsidRPr="002F4565">
        <w:rPr>
          <w:lang w:val="pt-BR"/>
        </w:rPr>
        <w:t>respeit</w:t>
      </w:r>
      <w:r w:rsidR="00BF5705" w:rsidRPr="002F4565">
        <w:rPr>
          <w:lang w:val="pt-BR"/>
        </w:rPr>
        <w:t>ar</w:t>
      </w:r>
      <w:r w:rsidRPr="002F4565">
        <w:rPr>
          <w:lang w:val="pt-BR"/>
        </w:rPr>
        <w:t xml:space="preserve">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BF5705"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2E1AA7" w:rsidRPr="002F4565">
        <w:rPr>
          <w:lang w:val="pt-BR"/>
        </w:rPr>
        <w:t>deve</w:t>
      </w:r>
      <w:r w:rsidRPr="002F4565">
        <w:rPr>
          <w:lang w:val="pt-BR"/>
        </w:rPr>
        <w:t xml:space="preserve"> </w:t>
      </w:r>
      <w:r w:rsidR="006A31E1" w:rsidRPr="002F4565">
        <w:rPr>
          <w:lang w:val="pt-BR"/>
        </w:rPr>
        <w:t>garantir</w:t>
      </w:r>
      <w:r w:rsidRPr="002F4565">
        <w:rPr>
          <w:lang w:val="pt-BR"/>
        </w:rPr>
        <w:t xml:space="preserve"> </w:t>
      </w:r>
      <w:r w:rsidR="00BF5705" w:rsidRPr="002F4565">
        <w:rPr>
          <w:lang w:val="pt-BR"/>
        </w:rPr>
        <w:t>a</w:t>
      </w:r>
      <w:r w:rsidRPr="002F4565">
        <w:rPr>
          <w:lang w:val="pt-BR"/>
        </w:rPr>
        <w:t xml:space="preserve"> transpar</w:t>
      </w:r>
      <w:r w:rsidR="003C09F9" w:rsidRPr="002F4565">
        <w:rPr>
          <w:lang w:val="pt-BR"/>
        </w:rPr>
        <w:t>ência</w:t>
      </w:r>
      <w:r w:rsidRPr="002F4565">
        <w:rPr>
          <w:lang w:val="pt-BR"/>
        </w:rPr>
        <w:t xml:space="preserve"> </w:t>
      </w:r>
      <w:r w:rsidR="0049090C" w:rsidRPr="002F4565">
        <w:rPr>
          <w:lang w:val="pt-BR"/>
        </w:rPr>
        <w:t>d</w:t>
      </w:r>
      <w:r w:rsidR="00BF5705" w:rsidRPr="002F4565">
        <w:rPr>
          <w:lang w:val="pt-BR"/>
        </w:rPr>
        <w:t>as</w:t>
      </w:r>
      <w:r w:rsidRPr="002F4565">
        <w:rPr>
          <w:lang w:val="pt-BR"/>
        </w:rPr>
        <w:t xml:space="preserve"> </w:t>
      </w:r>
      <w:r w:rsidR="00F21F55" w:rsidRPr="002F4565">
        <w:rPr>
          <w:lang w:val="pt-BR"/>
        </w:rPr>
        <w:t>informações</w:t>
      </w:r>
      <w:r w:rsidRPr="002F4565">
        <w:rPr>
          <w:lang w:val="pt-BR"/>
        </w:rPr>
        <w:t xml:space="preserve"> </w:t>
      </w:r>
      <w:r w:rsidR="0049090C" w:rsidRPr="002F4565">
        <w:rPr>
          <w:lang w:val="pt-BR"/>
        </w:rPr>
        <w:t>e</w:t>
      </w:r>
      <w:r w:rsidRPr="002F4565">
        <w:rPr>
          <w:lang w:val="pt-BR"/>
        </w:rPr>
        <w:t xml:space="preserve"> </w:t>
      </w:r>
      <w:r w:rsidR="00072E1E" w:rsidRPr="002F4565">
        <w:rPr>
          <w:lang w:val="pt-BR"/>
        </w:rPr>
        <w:t>composição</w:t>
      </w:r>
      <w:r w:rsidR="00BF5705" w:rsidRPr="002F4565">
        <w:rPr>
          <w:lang w:val="pt-BR"/>
        </w:rPr>
        <w:t xml:space="preserve"> nutricional</w:t>
      </w:r>
      <w:r w:rsidRPr="002F4565">
        <w:rPr>
          <w:lang w:val="pt-BR"/>
        </w:rPr>
        <w:t xml:space="preserve">, </w:t>
      </w:r>
      <w:r w:rsidR="00BF5705" w:rsidRPr="002F4565">
        <w:rPr>
          <w:lang w:val="pt-BR"/>
        </w:rPr>
        <w:t>área em que</w:t>
      </w:r>
      <w:r w:rsidR="00E72375" w:rsidRPr="002F4565">
        <w:rPr>
          <w:lang w:val="pt-BR"/>
        </w:rPr>
        <w:t>,</w:t>
      </w:r>
      <w:r w:rsidR="00BF5705" w:rsidRPr="002F4565">
        <w:rPr>
          <w:lang w:val="pt-BR"/>
        </w:rPr>
        <w:t xml:space="preserve"> até o momento</w:t>
      </w:r>
      <w:r w:rsidR="00E72375" w:rsidRPr="002F4565">
        <w:rPr>
          <w:lang w:val="pt-BR"/>
        </w:rPr>
        <w:t>,</w:t>
      </w:r>
      <w:r w:rsidR="00BF5705" w:rsidRPr="002F4565">
        <w:rPr>
          <w:lang w:val="pt-BR"/>
        </w:rPr>
        <w:t xml:space="preserve"> faltam esforços </w:t>
      </w:r>
      <w:r w:rsidR="0049090C" w:rsidRPr="002F4565">
        <w:rPr>
          <w:lang w:val="pt-BR"/>
        </w:rPr>
        <w:t>d</w:t>
      </w:r>
      <w:r w:rsidR="00BF5705" w:rsidRPr="002F4565">
        <w:rPr>
          <w:lang w:val="pt-BR"/>
        </w:rPr>
        <w:t>a</w:t>
      </w:r>
      <w:r w:rsidRPr="002F4565">
        <w:rPr>
          <w:lang w:val="pt-BR"/>
        </w:rPr>
        <w:t xml:space="preserve"> </w:t>
      </w:r>
      <w:r w:rsidR="00F21F55" w:rsidRPr="002F4565">
        <w:rPr>
          <w:lang w:val="pt-BR"/>
        </w:rPr>
        <w:t>indústria de alimentos</w:t>
      </w:r>
      <w:r w:rsidR="00BF5705" w:rsidRPr="002F4565">
        <w:rPr>
          <w:lang w:val="pt-BR"/>
        </w:rPr>
        <w:t>,</w:t>
      </w:r>
      <w:r w:rsidRPr="002F4565">
        <w:rPr>
          <w:lang w:val="pt-BR"/>
        </w:rPr>
        <w:t xml:space="preserve"> </w:t>
      </w:r>
      <w:r w:rsidR="00BF5705" w:rsidRPr="002F4565">
        <w:rPr>
          <w:lang w:val="pt-BR"/>
        </w:rPr>
        <w:t>lamentavelmente</w:t>
      </w:r>
      <w:r w:rsidRPr="002F4565">
        <w:rPr>
          <w:lang w:val="pt-BR"/>
        </w:rPr>
        <w:t xml:space="preserve">. </w:t>
      </w:r>
      <w:r w:rsidR="00BF5705" w:rsidRPr="002F4565">
        <w:rPr>
          <w:lang w:val="pt-BR"/>
        </w:rPr>
        <w:t xml:space="preserve">A </w:t>
      </w:r>
      <w:r w:rsidR="00F21F55" w:rsidRPr="002F4565">
        <w:rPr>
          <w:lang w:val="pt-BR"/>
        </w:rPr>
        <w:t>indústria de alimentos</w:t>
      </w:r>
      <w:r w:rsidRPr="002F4565">
        <w:rPr>
          <w:lang w:val="pt-BR"/>
        </w:rPr>
        <w:t xml:space="preserve"> </w:t>
      </w:r>
      <w:r w:rsidR="002E1AA7" w:rsidRPr="002F4565">
        <w:rPr>
          <w:lang w:val="pt-BR"/>
        </w:rPr>
        <w:t>deve</w:t>
      </w:r>
      <w:r w:rsidRPr="002F4565">
        <w:rPr>
          <w:lang w:val="pt-BR"/>
        </w:rPr>
        <w:t xml:space="preserve"> </w:t>
      </w:r>
      <w:r w:rsidR="00BF5705" w:rsidRPr="002F4565">
        <w:rPr>
          <w:lang w:val="pt-BR"/>
        </w:rPr>
        <w:t xml:space="preserve">adotar medidas </w:t>
      </w:r>
      <w:r w:rsidRPr="002F4565">
        <w:rPr>
          <w:lang w:val="pt-BR"/>
        </w:rPr>
        <w:t>concret</w:t>
      </w:r>
      <w:r w:rsidR="00BF5705" w:rsidRPr="002F4565">
        <w:rPr>
          <w:lang w:val="pt-BR"/>
        </w:rPr>
        <w:t>as</w:t>
      </w:r>
      <w:r w:rsidRPr="002F4565">
        <w:rPr>
          <w:lang w:val="pt-BR"/>
        </w:rPr>
        <w:t xml:space="preserve"> </w:t>
      </w:r>
      <w:r w:rsidR="00BF5705" w:rsidRPr="002F4565">
        <w:rPr>
          <w:lang w:val="pt-BR"/>
        </w:rPr>
        <w:t xml:space="preserve">para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BF5705" w:rsidRPr="002F4565">
        <w:rPr>
          <w:lang w:val="pt-BR"/>
        </w:rPr>
        <w:t xml:space="preserve">os </w:t>
      </w:r>
      <w:r w:rsidR="002E1AA7" w:rsidRPr="002F4565">
        <w:rPr>
          <w:lang w:val="pt-BR"/>
        </w:rPr>
        <w:t>consumidores</w:t>
      </w:r>
      <w:r w:rsidRPr="002F4565">
        <w:rPr>
          <w:lang w:val="pt-BR"/>
        </w:rPr>
        <w:t xml:space="preserve"> </w:t>
      </w:r>
      <w:r w:rsidR="00BF5705" w:rsidRPr="002F4565">
        <w:rPr>
          <w:lang w:val="pt-BR"/>
        </w:rPr>
        <w:t xml:space="preserve">terão </w:t>
      </w:r>
      <w:r w:rsidR="00F21F55" w:rsidRPr="002F4565">
        <w:rPr>
          <w:lang w:val="pt-BR"/>
        </w:rPr>
        <w:t>informações</w:t>
      </w:r>
      <w:r w:rsidRPr="002F4565">
        <w:rPr>
          <w:lang w:val="pt-BR"/>
        </w:rPr>
        <w:t xml:space="preserve"> </w:t>
      </w:r>
      <w:r w:rsidR="00BF5705" w:rsidRPr="002F4565">
        <w:rPr>
          <w:lang w:val="pt-BR"/>
        </w:rPr>
        <w:t xml:space="preserve">nutricionais suficientes </w:t>
      </w:r>
      <w:r w:rsidR="00F21F55" w:rsidRPr="002F4565">
        <w:rPr>
          <w:lang w:val="pt-BR"/>
        </w:rPr>
        <w:t>sobre</w:t>
      </w:r>
      <w:r w:rsidRPr="002F4565">
        <w:rPr>
          <w:lang w:val="pt-BR"/>
        </w:rPr>
        <w:t xml:space="preserve"> </w:t>
      </w:r>
      <w:r w:rsidR="00BF5705" w:rsidRPr="002F4565">
        <w:rPr>
          <w:lang w:val="pt-BR"/>
        </w:rPr>
        <w:t xml:space="preserve">seus </w:t>
      </w:r>
      <w:r w:rsidR="00B5729E" w:rsidRPr="002F4565">
        <w:rPr>
          <w:lang w:val="pt-BR"/>
        </w:rPr>
        <w:t>produto</w:t>
      </w:r>
      <w:r w:rsidRPr="002F4565">
        <w:rPr>
          <w:lang w:val="pt-BR"/>
        </w:rPr>
        <w:t xml:space="preserve">s </w:t>
      </w:r>
      <w:r w:rsidR="00BF5705" w:rsidRPr="002F4565">
        <w:rPr>
          <w:lang w:val="pt-BR"/>
        </w:rPr>
        <w:t xml:space="preserve">para ajudar a promover </w:t>
      </w:r>
      <w:r w:rsidR="00624BDC" w:rsidRPr="002F4565">
        <w:rPr>
          <w:lang w:val="pt-BR"/>
        </w:rPr>
        <w:t>decisões</w:t>
      </w:r>
      <w:r w:rsidR="00BF5705" w:rsidRPr="002F4565">
        <w:rPr>
          <w:lang w:val="pt-BR"/>
        </w:rPr>
        <w:t xml:space="preserve"> alimentares mais responsáveis</w:t>
      </w:r>
      <w:r w:rsidRPr="002F4565">
        <w:rPr>
          <w:lang w:val="pt-BR"/>
        </w:rPr>
        <w:t xml:space="preserve">. </w:t>
      </w:r>
      <w:r w:rsidR="00BF5705" w:rsidRPr="002F4565">
        <w:rPr>
          <w:lang w:val="pt-BR"/>
        </w:rPr>
        <w:t>Além disso</w:t>
      </w:r>
      <w:r w:rsidRPr="002F4565">
        <w:rPr>
          <w:lang w:val="pt-BR"/>
        </w:rPr>
        <w:t xml:space="preserve">, </w:t>
      </w:r>
      <w:r w:rsidR="00BF5705" w:rsidRPr="002F4565">
        <w:rPr>
          <w:lang w:val="pt-BR"/>
        </w:rPr>
        <w:t xml:space="preserve">criar e </w:t>
      </w:r>
      <w:r w:rsidRPr="002F4565">
        <w:rPr>
          <w:lang w:val="pt-BR"/>
        </w:rPr>
        <w:t>impl</w:t>
      </w:r>
      <w:r w:rsidR="00E72375" w:rsidRPr="002F4565">
        <w:rPr>
          <w:lang w:val="pt-BR"/>
        </w:rPr>
        <w:t>a</w:t>
      </w:r>
      <w:r w:rsidRPr="002F4565">
        <w:rPr>
          <w:lang w:val="pt-BR"/>
        </w:rPr>
        <w:t>nt</w:t>
      </w:r>
      <w:r w:rsidR="00BF5705" w:rsidRPr="002F4565">
        <w:rPr>
          <w:lang w:val="pt-BR"/>
        </w:rPr>
        <w:t xml:space="preserve">ar </w:t>
      </w:r>
      <w:r w:rsidR="00F21F55" w:rsidRPr="002F4565">
        <w:rPr>
          <w:lang w:val="pt-BR"/>
        </w:rPr>
        <w:t>mecanismo</w:t>
      </w:r>
      <w:r w:rsidRPr="002F4565">
        <w:rPr>
          <w:lang w:val="pt-BR"/>
        </w:rPr>
        <w:t xml:space="preserve">s </w:t>
      </w:r>
      <w:r w:rsidR="006A31E1" w:rsidRPr="002F4565">
        <w:rPr>
          <w:lang w:val="pt-BR"/>
        </w:rPr>
        <w:t>que</w:t>
      </w:r>
      <w:r w:rsidRPr="002F4565">
        <w:rPr>
          <w:lang w:val="pt-BR"/>
        </w:rPr>
        <w:t xml:space="preserve"> promo</w:t>
      </w:r>
      <w:r w:rsidR="00BF5705" w:rsidRPr="002F4565">
        <w:rPr>
          <w:lang w:val="pt-BR"/>
        </w:rPr>
        <w:t xml:space="preserve">vam a transparência de </w:t>
      </w:r>
      <w:r w:rsidR="003C09F9" w:rsidRPr="002F4565">
        <w:rPr>
          <w:lang w:val="pt-BR"/>
        </w:rPr>
        <w:t>conflito</w:t>
      </w:r>
      <w:r w:rsidRPr="002F4565">
        <w:rPr>
          <w:lang w:val="pt-BR"/>
        </w:rPr>
        <w:t xml:space="preserve">s </w:t>
      </w:r>
      <w:r w:rsidR="0049090C" w:rsidRPr="002F4565">
        <w:rPr>
          <w:lang w:val="pt-BR"/>
        </w:rPr>
        <w:t>de</w:t>
      </w:r>
      <w:r w:rsidRPr="002F4565">
        <w:rPr>
          <w:lang w:val="pt-BR"/>
        </w:rPr>
        <w:t xml:space="preserve"> </w:t>
      </w:r>
      <w:r w:rsidR="00BF5705" w:rsidRPr="002F4565">
        <w:rPr>
          <w:lang w:val="pt-BR"/>
        </w:rPr>
        <w:t>interesses</w:t>
      </w:r>
      <w:r w:rsidRPr="002F4565">
        <w:rPr>
          <w:lang w:val="pt-BR"/>
        </w:rPr>
        <w:t xml:space="preserve"> </w:t>
      </w:r>
      <w:r w:rsidR="00BF5705" w:rsidRPr="002F4565">
        <w:rPr>
          <w:lang w:val="pt-BR"/>
        </w:rPr>
        <w:t>dentro de sua estrutura de governança</w:t>
      </w:r>
      <w:r w:rsidRPr="002F4565">
        <w:rPr>
          <w:lang w:val="pt-BR"/>
        </w:rPr>
        <w:t xml:space="preserve"> </w:t>
      </w:r>
      <w:r w:rsidR="00BF5705" w:rsidRPr="002F4565">
        <w:rPr>
          <w:lang w:val="pt-BR"/>
        </w:rPr>
        <w:t xml:space="preserve">poderá </w:t>
      </w:r>
      <w:r w:rsidRPr="002F4565">
        <w:rPr>
          <w:lang w:val="pt-BR"/>
        </w:rPr>
        <w:t>contribu</w:t>
      </w:r>
      <w:r w:rsidR="00BF5705" w:rsidRPr="002F4565">
        <w:rPr>
          <w:lang w:val="pt-BR"/>
        </w:rPr>
        <w:t>ir para esforço</w:t>
      </w:r>
      <w:r w:rsidRPr="002F4565">
        <w:rPr>
          <w:lang w:val="pt-BR"/>
        </w:rPr>
        <w:t xml:space="preserve">s </w:t>
      </w:r>
      <w:r w:rsidR="00BF5705" w:rsidRPr="002F4565">
        <w:rPr>
          <w:lang w:val="pt-BR"/>
        </w:rPr>
        <w:t xml:space="preserve">no sentido de </w:t>
      </w:r>
      <w:r w:rsidR="006A31E1" w:rsidRPr="002F4565">
        <w:rPr>
          <w:lang w:val="pt-BR"/>
        </w:rPr>
        <w:t>garantir</w:t>
      </w:r>
      <w:r w:rsidRPr="002F4565">
        <w:rPr>
          <w:lang w:val="pt-BR"/>
        </w:rPr>
        <w:t xml:space="preserve"> </w:t>
      </w:r>
      <w:r w:rsidR="00E72375" w:rsidRPr="002F4565">
        <w:rPr>
          <w:lang w:val="pt-BR"/>
        </w:rPr>
        <w:t xml:space="preserve">a </w:t>
      </w:r>
      <w:r w:rsidRPr="002F4565">
        <w:rPr>
          <w:lang w:val="pt-BR"/>
        </w:rPr>
        <w:t>transpar</w:t>
      </w:r>
      <w:r w:rsidR="003C09F9" w:rsidRPr="002F4565">
        <w:rPr>
          <w:lang w:val="pt-BR"/>
        </w:rPr>
        <w:t>ência</w:t>
      </w:r>
      <w:r w:rsidRPr="002F4565">
        <w:rPr>
          <w:lang w:val="pt-BR"/>
        </w:rPr>
        <w:t xml:space="preserve"> </w:t>
      </w:r>
      <w:r w:rsidR="0049090C" w:rsidRPr="002F4565">
        <w:rPr>
          <w:lang w:val="pt-BR"/>
        </w:rPr>
        <w:t>d</w:t>
      </w:r>
      <w:r w:rsidR="00BF5705" w:rsidRPr="002F4565">
        <w:rPr>
          <w:lang w:val="pt-BR"/>
        </w:rPr>
        <w:t>as</w:t>
      </w:r>
      <w:r w:rsidRPr="002F4565">
        <w:rPr>
          <w:lang w:val="pt-BR"/>
        </w:rPr>
        <w:t xml:space="preserve"> oper</w:t>
      </w:r>
      <w:r w:rsidR="00F21F55" w:rsidRPr="002F4565">
        <w:rPr>
          <w:lang w:val="pt-BR"/>
        </w:rPr>
        <w:t>ações</w:t>
      </w:r>
      <w:r w:rsidRPr="002F4565">
        <w:rPr>
          <w:lang w:val="pt-BR"/>
        </w:rPr>
        <w:t xml:space="preserve"> </w:t>
      </w:r>
      <w:r w:rsidR="0049090C" w:rsidRPr="002F4565">
        <w:rPr>
          <w:lang w:val="pt-BR"/>
        </w:rPr>
        <w:t>d</w:t>
      </w:r>
      <w:r w:rsidR="00BF5705"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BF5705" w:rsidRPr="002F4565">
        <w:rPr>
          <w:lang w:val="pt-BR"/>
        </w:rPr>
        <w:t xml:space="preserve">Isto </w:t>
      </w:r>
      <w:r w:rsidR="005A25F5" w:rsidRPr="002F4565">
        <w:rPr>
          <w:lang w:val="pt-BR"/>
        </w:rPr>
        <w:t>é</w:t>
      </w:r>
      <w:r w:rsidRPr="002F4565">
        <w:rPr>
          <w:lang w:val="pt-BR"/>
        </w:rPr>
        <w:t xml:space="preserve"> </w:t>
      </w:r>
      <w:r w:rsidR="0049090C" w:rsidRPr="002F4565">
        <w:rPr>
          <w:lang w:val="pt-BR"/>
        </w:rPr>
        <w:t>de</w:t>
      </w:r>
      <w:r w:rsidRPr="002F4565">
        <w:rPr>
          <w:lang w:val="pt-BR"/>
        </w:rPr>
        <w:t xml:space="preserve"> particular relev</w:t>
      </w:r>
      <w:r w:rsidR="00F21F55" w:rsidRPr="002F4565">
        <w:rPr>
          <w:lang w:val="pt-BR"/>
        </w:rPr>
        <w:t>ância</w:t>
      </w:r>
      <w:r w:rsidRPr="002F4565">
        <w:rPr>
          <w:lang w:val="pt-BR"/>
        </w:rPr>
        <w:t xml:space="preserve"> </w:t>
      </w:r>
      <w:r w:rsidR="00BF5705" w:rsidRPr="002F4565">
        <w:rPr>
          <w:lang w:val="pt-BR"/>
        </w:rPr>
        <w:t xml:space="preserve">nos casos em que os financiadores da </w:t>
      </w:r>
      <w:r w:rsidR="0049090C" w:rsidRPr="002F4565">
        <w:rPr>
          <w:lang w:val="pt-BR"/>
        </w:rPr>
        <w:t>saúde</w:t>
      </w:r>
      <w:r w:rsidRPr="002F4565">
        <w:rPr>
          <w:lang w:val="pt-BR"/>
        </w:rPr>
        <w:t xml:space="preserve"> </w:t>
      </w:r>
      <w:r w:rsidR="00BF5705" w:rsidRPr="002F4565">
        <w:rPr>
          <w:lang w:val="pt-BR"/>
        </w:rPr>
        <w:t>global</w:t>
      </w:r>
      <w:r w:rsidRPr="002F4565">
        <w:rPr>
          <w:lang w:val="pt-BR"/>
        </w:rPr>
        <w:t xml:space="preserve">, </w:t>
      </w:r>
      <w:r w:rsidR="00BF5705" w:rsidRPr="002F4565">
        <w:rPr>
          <w:lang w:val="pt-BR"/>
        </w:rPr>
        <w:t xml:space="preserve">que </w:t>
      </w:r>
      <w:r w:rsidR="0040430A" w:rsidRPr="002F4565">
        <w:rPr>
          <w:lang w:val="pt-BR"/>
        </w:rPr>
        <w:t>são</w:t>
      </w:r>
      <w:r w:rsidRPr="002F4565">
        <w:rPr>
          <w:lang w:val="pt-BR"/>
        </w:rPr>
        <w:t xml:space="preserve"> </w:t>
      </w:r>
      <w:r w:rsidR="00F21F55" w:rsidRPr="002F4565">
        <w:rPr>
          <w:lang w:val="pt-BR"/>
        </w:rPr>
        <w:t>também</w:t>
      </w:r>
      <w:r w:rsidRPr="002F4565">
        <w:rPr>
          <w:lang w:val="pt-BR"/>
        </w:rPr>
        <w:t xml:space="preserve"> </w:t>
      </w:r>
      <w:r w:rsidR="00BF5705" w:rsidRPr="002F4565">
        <w:rPr>
          <w:lang w:val="pt-BR"/>
        </w:rPr>
        <w:t xml:space="preserve">agentes não pertencentes ao </w:t>
      </w:r>
      <w:r w:rsidR="006A31E1" w:rsidRPr="002F4565">
        <w:rPr>
          <w:lang w:val="pt-BR"/>
        </w:rPr>
        <w:t>Estado</w:t>
      </w:r>
      <w:r w:rsidRPr="002F4565">
        <w:rPr>
          <w:lang w:val="pt-BR"/>
        </w:rPr>
        <w:t xml:space="preserve">, </w:t>
      </w:r>
      <w:r w:rsidR="0040430A" w:rsidRPr="002F4565">
        <w:rPr>
          <w:lang w:val="pt-BR"/>
        </w:rPr>
        <w:t>são</w:t>
      </w:r>
      <w:r w:rsidRPr="002F4565">
        <w:rPr>
          <w:lang w:val="pt-BR"/>
        </w:rPr>
        <w:t xml:space="preserve"> </w:t>
      </w:r>
      <w:r w:rsidR="00BF5705" w:rsidRPr="002F4565">
        <w:rPr>
          <w:lang w:val="pt-BR"/>
        </w:rPr>
        <w:t xml:space="preserve">acionistas </w:t>
      </w:r>
      <w:r w:rsidR="003F41C2" w:rsidRPr="002F4565">
        <w:rPr>
          <w:lang w:val="pt-BR"/>
        </w:rPr>
        <w:t>ou</w:t>
      </w:r>
      <w:r w:rsidRPr="002F4565">
        <w:rPr>
          <w:lang w:val="pt-BR"/>
        </w:rPr>
        <w:t xml:space="preserve"> </w:t>
      </w:r>
      <w:r w:rsidR="00BF5705" w:rsidRPr="002F4565">
        <w:rPr>
          <w:lang w:val="pt-BR"/>
        </w:rPr>
        <w:t>participam de conselhos de governança</w:t>
      </w:r>
      <w:r w:rsidRPr="002F4565">
        <w:rPr>
          <w:lang w:val="pt-BR"/>
        </w:rPr>
        <w:t xml:space="preserve"> </w:t>
      </w:r>
      <w:r w:rsidR="0049090C" w:rsidRPr="002F4565">
        <w:rPr>
          <w:lang w:val="pt-BR"/>
        </w:rPr>
        <w:t>d</w:t>
      </w:r>
      <w:r w:rsidR="00BF5705"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3F41C2" w:rsidRPr="002F4565">
        <w:rPr>
          <w:lang w:val="pt-BR"/>
        </w:rPr>
        <w:t>ou</w:t>
      </w:r>
      <w:r w:rsidRPr="002F4565">
        <w:rPr>
          <w:lang w:val="pt-BR"/>
        </w:rPr>
        <w:t xml:space="preserve"> vice </w:t>
      </w:r>
      <w:proofErr w:type="gramStart"/>
      <w:r w:rsidRPr="002F4565">
        <w:rPr>
          <w:lang w:val="pt-BR"/>
        </w:rPr>
        <w:t>versa.</w:t>
      </w:r>
      <w:proofErr w:type="gramEnd"/>
      <w:r w:rsidRPr="002F4565">
        <w:rPr>
          <w:vertAlign w:val="superscript"/>
          <w:lang w:val="pt-BR"/>
        </w:rPr>
        <w:t>50</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VI. </w:t>
      </w:r>
      <w:r w:rsidR="00802E44" w:rsidRPr="002F4565">
        <w:rPr>
          <w:lang w:val="pt-BR"/>
        </w:rPr>
        <w:t>Grupos vulneráveis</w:t>
      </w:r>
    </w:p>
    <w:p w:rsidR="00115B91" w:rsidRPr="002F4565" w:rsidRDefault="00115B91" w:rsidP="0051636A">
      <w:pPr>
        <w:spacing w:before="120" w:after="0" w:line="240" w:lineRule="auto"/>
        <w:rPr>
          <w:lang w:val="pt-BR"/>
        </w:rPr>
      </w:pPr>
      <w:r w:rsidRPr="002F4565">
        <w:rPr>
          <w:lang w:val="pt-BR"/>
        </w:rPr>
        <w:t xml:space="preserve">33. </w:t>
      </w:r>
      <w:r w:rsidR="00BF5705" w:rsidRPr="002F4565">
        <w:rPr>
          <w:lang w:val="pt-BR"/>
        </w:rPr>
        <w:t xml:space="preserve">Os </w:t>
      </w:r>
      <w:r w:rsidR="0049090C" w:rsidRPr="002F4565">
        <w:rPr>
          <w:lang w:val="pt-BR"/>
        </w:rPr>
        <w:t>Estados</w:t>
      </w:r>
      <w:r w:rsidRPr="002F4565">
        <w:rPr>
          <w:lang w:val="pt-BR"/>
        </w:rPr>
        <w:t xml:space="preserve"> </w:t>
      </w:r>
      <w:r w:rsidR="00BF5705" w:rsidRPr="002F4565">
        <w:rPr>
          <w:lang w:val="pt-BR"/>
        </w:rPr>
        <w:t xml:space="preserve">têm a </w:t>
      </w:r>
      <w:r w:rsidR="006A31E1" w:rsidRPr="002F4565">
        <w:rPr>
          <w:lang w:val="pt-BR"/>
        </w:rPr>
        <w:t>obrigação</w:t>
      </w:r>
      <w:r w:rsidRPr="002F4565">
        <w:rPr>
          <w:lang w:val="pt-BR"/>
        </w:rPr>
        <w:t xml:space="preserve"> </w:t>
      </w:r>
      <w:r w:rsidR="00BF5705" w:rsidRPr="002F4565">
        <w:rPr>
          <w:lang w:val="pt-BR"/>
        </w:rPr>
        <w:t xml:space="preserve">fundamental de </w:t>
      </w:r>
      <w:r w:rsidR="00624BDC" w:rsidRPr="002F4565">
        <w:rPr>
          <w:lang w:val="pt-BR"/>
        </w:rPr>
        <w:t>proteger</w:t>
      </w:r>
      <w:r w:rsidRPr="002F4565">
        <w:rPr>
          <w:lang w:val="pt-BR"/>
        </w:rPr>
        <w:t xml:space="preserve">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49090C" w:rsidRPr="002F4565">
        <w:rPr>
          <w:lang w:val="pt-BR"/>
        </w:rPr>
        <w:t>de</w:t>
      </w:r>
      <w:r w:rsidRPr="002F4565">
        <w:rPr>
          <w:lang w:val="pt-BR"/>
        </w:rPr>
        <w:t xml:space="preserve"> </w:t>
      </w:r>
      <w:r w:rsidR="00802E44" w:rsidRPr="002F4565">
        <w:rPr>
          <w:lang w:val="pt-BR"/>
        </w:rPr>
        <w:t>grupos</w:t>
      </w:r>
      <w:r w:rsidR="00BF5705" w:rsidRPr="002F4565">
        <w:rPr>
          <w:lang w:val="pt-BR"/>
        </w:rPr>
        <w:t xml:space="preserve"> vulneráveis e marginalizados</w:t>
      </w:r>
      <w:r w:rsidRPr="002F4565">
        <w:rPr>
          <w:lang w:val="pt-BR"/>
        </w:rPr>
        <w:t xml:space="preserve">. </w:t>
      </w:r>
      <w:r w:rsidR="0049090C" w:rsidRPr="002F4565">
        <w:rPr>
          <w:lang w:val="pt-BR"/>
        </w:rPr>
        <w:t>O</w:t>
      </w:r>
      <w:r w:rsidRPr="002F4565">
        <w:rPr>
          <w:lang w:val="pt-BR"/>
        </w:rPr>
        <w:t xml:space="preserve"> present</w:t>
      </w:r>
      <w:r w:rsidR="00BF5705" w:rsidRPr="002F4565">
        <w:rPr>
          <w:lang w:val="pt-BR"/>
        </w:rPr>
        <w:t>e</w:t>
      </w:r>
      <w:r w:rsidRPr="002F4565">
        <w:rPr>
          <w:lang w:val="pt-BR"/>
        </w:rPr>
        <w:t xml:space="preserve"> </w:t>
      </w:r>
      <w:r w:rsidR="00261A8A" w:rsidRPr="002F4565">
        <w:rPr>
          <w:lang w:val="pt-BR"/>
        </w:rPr>
        <w:t>relatório</w:t>
      </w:r>
      <w:r w:rsidRPr="002F4565">
        <w:rPr>
          <w:lang w:val="pt-BR"/>
        </w:rPr>
        <w:t xml:space="preserve"> </w:t>
      </w:r>
      <w:r w:rsidR="00BF5705" w:rsidRPr="002F4565">
        <w:rPr>
          <w:lang w:val="pt-BR"/>
        </w:rPr>
        <w:t xml:space="preserve">se concentra em três </w:t>
      </w:r>
      <w:r w:rsidR="00802E44" w:rsidRPr="002F4565">
        <w:rPr>
          <w:lang w:val="pt-BR"/>
        </w:rPr>
        <w:t>grupos</w:t>
      </w:r>
      <w:r w:rsidR="00BF5705" w:rsidRPr="002F4565">
        <w:rPr>
          <w:lang w:val="pt-BR"/>
        </w:rPr>
        <w:t xml:space="preserve"> </w:t>
      </w:r>
      <w:r w:rsidR="00703835" w:rsidRPr="002F4565">
        <w:rPr>
          <w:lang w:val="pt-BR"/>
        </w:rPr>
        <w:t>específicos</w:t>
      </w:r>
      <w:r w:rsidRPr="002F4565">
        <w:rPr>
          <w:lang w:val="pt-BR"/>
        </w:rPr>
        <w:t xml:space="preserve">: </w:t>
      </w:r>
      <w:r w:rsidR="00802E44" w:rsidRPr="002F4565">
        <w:rPr>
          <w:lang w:val="pt-BR"/>
        </w:rPr>
        <w:t>crianças</w:t>
      </w:r>
      <w:r w:rsidRPr="002F4565">
        <w:rPr>
          <w:lang w:val="pt-BR"/>
        </w:rPr>
        <w:t xml:space="preserve">, </w:t>
      </w:r>
      <w:r w:rsidR="00BF5705" w:rsidRPr="002F4565">
        <w:rPr>
          <w:lang w:val="pt-BR"/>
        </w:rPr>
        <w:t xml:space="preserve">devido à maior </w:t>
      </w:r>
      <w:r w:rsidRPr="002F4565">
        <w:rPr>
          <w:lang w:val="pt-BR"/>
        </w:rPr>
        <w:t>suscepti</w:t>
      </w:r>
      <w:r w:rsidR="0049090C" w:rsidRPr="002F4565">
        <w:rPr>
          <w:lang w:val="pt-BR"/>
        </w:rPr>
        <w:t>bilidade</w:t>
      </w:r>
      <w:r w:rsidRPr="002F4565">
        <w:rPr>
          <w:lang w:val="pt-BR"/>
        </w:rPr>
        <w:t xml:space="preserve"> </w:t>
      </w:r>
      <w:r w:rsidR="00703835" w:rsidRPr="002F4565">
        <w:rPr>
          <w:lang w:val="pt-BR"/>
        </w:rPr>
        <w:t xml:space="preserve">à </w:t>
      </w:r>
      <w:r w:rsidR="00BC3868" w:rsidRPr="002F4565">
        <w:rPr>
          <w:lang w:val="pt-BR"/>
        </w:rPr>
        <w:t>publicidade</w:t>
      </w:r>
      <w:r w:rsidRPr="002F4565">
        <w:rPr>
          <w:lang w:val="pt-BR"/>
        </w:rPr>
        <w:t xml:space="preserve">; </w:t>
      </w:r>
      <w:r w:rsidR="00802E44" w:rsidRPr="002F4565">
        <w:rPr>
          <w:lang w:val="pt-BR"/>
        </w:rPr>
        <w:t>mulheres</w:t>
      </w:r>
      <w:r w:rsidRPr="002F4565">
        <w:rPr>
          <w:lang w:val="pt-BR"/>
        </w:rPr>
        <w:t xml:space="preserve">, </w:t>
      </w:r>
      <w:r w:rsidR="00BF5705" w:rsidRPr="002F4565">
        <w:rPr>
          <w:lang w:val="pt-BR"/>
        </w:rPr>
        <w:t xml:space="preserve">porque </w:t>
      </w:r>
      <w:r w:rsidR="00BC3868" w:rsidRPr="002F4565">
        <w:rPr>
          <w:lang w:val="pt-BR"/>
        </w:rPr>
        <w:t>a publicidade</w:t>
      </w:r>
      <w:r w:rsidRPr="002F4565">
        <w:rPr>
          <w:lang w:val="pt-BR"/>
        </w:rPr>
        <w:t xml:space="preserve"> </w:t>
      </w:r>
      <w:r w:rsidR="00BF5705" w:rsidRPr="002F4565">
        <w:rPr>
          <w:lang w:val="pt-BR"/>
        </w:rPr>
        <w:t>dirigid</w:t>
      </w:r>
      <w:r w:rsidR="00703835" w:rsidRPr="002F4565">
        <w:rPr>
          <w:lang w:val="pt-BR"/>
        </w:rPr>
        <w:t>a</w:t>
      </w:r>
      <w:r w:rsidR="00BF5705" w:rsidRPr="002F4565">
        <w:rPr>
          <w:lang w:val="pt-BR"/>
        </w:rPr>
        <w:t xml:space="preserve"> ao gênero feminino </w:t>
      </w:r>
      <w:r w:rsidRPr="002F4565">
        <w:rPr>
          <w:lang w:val="pt-BR"/>
        </w:rPr>
        <w:t>perpetua</w:t>
      </w:r>
      <w:r w:rsidR="00BF5705" w:rsidRPr="002F4565">
        <w:rPr>
          <w:lang w:val="pt-BR"/>
        </w:rPr>
        <w:t xml:space="preserve"> papéis </w:t>
      </w:r>
      <w:r w:rsidRPr="002F4565">
        <w:rPr>
          <w:lang w:val="pt-BR"/>
        </w:rPr>
        <w:t>tradi</w:t>
      </w:r>
      <w:r w:rsidR="00BF5705" w:rsidRPr="002F4565">
        <w:rPr>
          <w:lang w:val="pt-BR"/>
        </w:rPr>
        <w:t xml:space="preserve">cionais </w:t>
      </w:r>
      <w:r w:rsidR="0049090C" w:rsidRPr="002F4565">
        <w:rPr>
          <w:lang w:val="pt-BR"/>
        </w:rPr>
        <w:t>e</w:t>
      </w:r>
      <w:r w:rsidRPr="002F4565">
        <w:rPr>
          <w:lang w:val="pt-BR"/>
        </w:rPr>
        <w:t xml:space="preserve"> </w:t>
      </w:r>
      <w:r w:rsidR="00F56DEA" w:rsidRPr="002F4565">
        <w:rPr>
          <w:lang w:val="pt-BR"/>
        </w:rPr>
        <w:t>desiguais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grupos de baixa renda</w:t>
      </w:r>
      <w:r w:rsidRPr="002F4565">
        <w:rPr>
          <w:lang w:val="pt-BR"/>
        </w:rPr>
        <w:t xml:space="preserve">, </w:t>
      </w:r>
      <w:r w:rsidR="00F56DEA" w:rsidRPr="002F4565">
        <w:rPr>
          <w:lang w:val="pt-BR"/>
        </w:rPr>
        <w:t xml:space="preserve">porque as </w:t>
      </w:r>
      <w:r w:rsidR="00F21F55" w:rsidRPr="002F4565">
        <w:rPr>
          <w:lang w:val="pt-BR"/>
        </w:rPr>
        <w:t>opções</w:t>
      </w:r>
      <w:r w:rsidRPr="002F4565">
        <w:rPr>
          <w:lang w:val="pt-BR"/>
        </w:rPr>
        <w:t xml:space="preserve"> </w:t>
      </w:r>
      <w:r w:rsidR="00F56DEA" w:rsidRPr="002F4565">
        <w:rPr>
          <w:lang w:val="pt-BR"/>
        </w:rPr>
        <w:t xml:space="preserve">de alimentos saudáveis </w:t>
      </w:r>
      <w:r w:rsidR="005A25F5" w:rsidRPr="002F4565">
        <w:rPr>
          <w:lang w:val="pt-BR"/>
        </w:rPr>
        <w:t>não</w:t>
      </w:r>
      <w:r w:rsidRPr="002F4565">
        <w:rPr>
          <w:lang w:val="pt-BR"/>
        </w:rPr>
        <w:t xml:space="preserve"> </w:t>
      </w:r>
      <w:r w:rsidR="00F56DEA" w:rsidRPr="002F4565">
        <w:rPr>
          <w:lang w:val="pt-BR"/>
        </w:rPr>
        <w:t xml:space="preserve">estão prontamente </w:t>
      </w:r>
      <w:r w:rsidR="00B5729E" w:rsidRPr="002F4565">
        <w:rPr>
          <w:lang w:val="pt-BR"/>
        </w:rPr>
        <w:t>disponíveis</w:t>
      </w:r>
      <w:r w:rsidRPr="002F4565">
        <w:rPr>
          <w:lang w:val="pt-BR"/>
        </w:rPr>
        <w:t xml:space="preserve"> </w:t>
      </w:r>
      <w:r w:rsidR="003F41C2" w:rsidRPr="002F4565">
        <w:rPr>
          <w:lang w:val="pt-BR"/>
        </w:rPr>
        <w:t>ou</w:t>
      </w:r>
      <w:r w:rsidRPr="002F4565">
        <w:rPr>
          <w:lang w:val="pt-BR"/>
        </w:rPr>
        <w:t xml:space="preserve"> </w:t>
      </w:r>
      <w:r w:rsidR="00624BDC" w:rsidRPr="002F4565">
        <w:rPr>
          <w:lang w:val="pt-BR"/>
        </w:rPr>
        <w:t>acessíveis</w:t>
      </w:r>
      <w:r w:rsidRPr="002F4565">
        <w:rPr>
          <w:lang w:val="pt-BR"/>
        </w:rPr>
        <w:t xml:space="preserve"> </w:t>
      </w:r>
      <w:r w:rsidR="00F56DEA" w:rsidRPr="002F4565">
        <w:rPr>
          <w:lang w:val="pt-BR"/>
        </w:rPr>
        <w:t>a estes grupos</w:t>
      </w:r>
      <w:r w:rsidRPr="002F4565">
        <w:rPr>
          <w:lang w:val="pt-BR"/>
        </w:rPr>
        <w:t xml:space="preserve">. </w:t>
      </w:r>
      <w:r w:rsidR="00F56DEA" w:rsidRPr="002F4565">
        <w:rPr>
          <w:lang w:val="pt-BR"/>
        </w:rPr>
        <w:t xml:space="preserve">Outros </w:t>
      </w:r>
      <w:r w:rsidR="0049090C" w:rsidRPr="002F4565">
        <w:rPr>
          <w:lang w:val="pt-BR"/>
        </w:rPr>
        <w:t>indivíduos</w:t>
      </w:r>
      <w:r w:rsidRPr="002F4565">
        <w:rPr>
          <w:lang w:val="pt-BR"/>
        </w:rPr>
        <w:t xml:space="preserve"> </w:t>
      </w:r>
      <w:r w:rsidR="003F41C2" w:rsidRPr="002F4565">
        <w:rPr>
          <w:lang w:val="pt-BR"/>
        </w:rPr>
        <w:t>ou</w:t>
      </w:r>
      <w:r w:rsidRPr="002F4565">
        <w:rPr>
          <w:lang w:val="pt-BR"/>
        </w:rPr>
        <w:t xml:space="preserve"> comuni</w:t>
      </w:r>
      <w:r w:rsidR="00F56DEA" w:rsidRPr="002F4565">
        <w:rPr>
          <w:lang w:val="pt-BR"/>
        </w:rPr>
        <w:t>dade</w:t>
      </w:r>
      <w:r w:rsidRPr="002F4565">
        <w:rPr>
          <w:lang w:val="pt-BR"/>
        </w:rPr>
        <w:t xml:space="preserve">s </w:t>
      </w:r>
      <w:r w:rsidR="00F21F55" w:rsidRPr="002F4565">
        <w:rPr>
          <w:lang w:val="pt-BR"/>
        </w:rPr>
        <w:t>também</w:t>
      </w:r>
      <w:r w:rsidRPr="002F4565">
        <w:rPr>
          <w:lang w:val="pt-BR"/>
        </w:rPr>
        <w:t xml:space="preserve"> </w:t>
      </w:r>
      <w:r w:rsidR="00703835" w:rsidRPr="002F4565">
        <w:rPr>
          <w:lang w:val="pt-BR"/>
        </w:rPr>
        <w:t xml:space="preserve">podem </w:t>
      </w:r>
      <w:r w:rsidR="00F56DEA" w:rsidRPr="002F4565">
        <w:rPr>
          <w:lang w:val="pt-BR"/>
        </w:rPr>
        <w:t xml:space="preserve">se defrontar com </w:t>
      </w:r>
      <w:r w:rsidR="00703835" w:rsidRPr="002F4565">
        <w:rPr>
          <w:lang w:val="pt-BR"/>
        </w:rPr>
        <w:t xml:space="preserve">maiores </w:t>
      </w:r>
      <w:r w:rsidR="00F21F55" w:rsidRPr="002F4565">
        <w:rPr>
          <w:lang w:val="pt-BR"/>
        </w:rPr>
        <w:t>riscos</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DNTs relacionadas com a dieta</w:t>
      </w:r>
      <w:r w:rsidRPr="002F4565">
        <w:rPr>
          <w:lang w:val="pt-BR"/>
        </w:rPr>
        <w:t xml:space="preserve"> </w:t>
      </w:r>
      <w:r w:rsidR="00F56DEA" w:rsidRPr="002F4565">
        <w:rPr>
          <w:lang w:val="pt-BR"/>
        </w:rPr>
        <w:t>devido ao status de raça</w:t>
      </w:r>
      <w:r w:rsidRPr="002F4565">
        <w:rPr>
          <w:lang w:val="pt-BR"/>
        </w:rPr>
        <w:t>, g</w:t>
      </w:r>
      <w:r w:rsidR="00F56DEA" w:rsidRPr="002F4565">
        <w:rPr>
          <w:lang w:val="pt-BR"/>
        </w:rPr>
        <w:t>ênero</w:t>
      </w:r>
      <w:r w:rsidRPr="002F4565">
        <w:rPr>
          <w:lang w:val="pt-BR"/>
        </w:rPr>
        <w:t xml:space="preserve">, </w:t>
      </w:r>
      <w:r w:rsidR="00F56DEA" w:rsidRPr="002F4565">
        <w:rPr>
          <w:lang w:val="pt-BR"/>
        </w:rPr>
        <w:t xml:space="preserve">indígena </w:t>
      </w:r>
      <w:r w:rsidR="003F41C2" w:rsidRPr="002F4565">
        <w:rPr>
          <w:lang w:val="pt-BR"/>
        </w:rPr>
        <w:t>ou</w:t>
      </w:r>
      <w:r w:rsidRPr="002F4565">
        <w:rPr>
          <w:lang w:val="pt-BR"/>
        </w:rPr>
        <w:t xml:space="preserve"> </w:t>
      </w:r>
      <w:r w:rsidR="00F56DEA" w:rsidRPr="002F4565">
        <w:rPr>
          <w:lang w:val="pt-BR"/>
        </w:rPr>
        <w:t xml:space="preserve">local </w:t>
      </w:r>
      <w:r w:rsidR="0049090C" w:rsidRPr="002F4565">
        <w:rPr>
          <w:lang w:val="pt-BR"/>
        </w:rPr>
        <w:t>de</w:t>
      </w:r>
      <w:r w:rsidRPr="002F4565">
        <w:rPr>
          <w:lang w:val="pt-BR"/>
        </w:rPr>
        <w:t xml:space="preserve"> resid</w:t>
      </w:r>
      <w:r w:rsidR="007E67D2" w:rsidRPr="002F4565">
        <w:rPr>
          <w:lang w:val="pt-BR"/>
        </w:rPr>
        <w:t>ência</w:t>
      </w:r>
      <w:r w:rsidRPr="002F4565">
        <w:rPr>
          <w:lang w:val="pt-BR"/>
        </w:rPr>
        <w:t xml:space="preserve">, </w:t>
      </w:r>
      <w:r w:rsidR="00F21F55" w:rsidRPr="002F4565">
        <w:rPr>
          <w:lang w:val="pt-BR"/>
        </w:rPr>
        <w:t>assim como</w:t>
      </w:r>
      <w:r w:rsidRPr="002F4565">
        <w:rPr>
          <w:lang w:val="pt-BR"/>
        </w:rPr>
        <w:t xml:space="preserve"> </w:t>
      </w:r>
      <w:r w:rsidR="00F56DEA" w:rsidRPr="002F4565">
        <w:rPr>
          <w:lang w:val="pt-BR"/>
        </w:rPr>
        <w:t xml:space="preserve">devido a </w:t>
      </w:r>
      <w:r w:rsidRPr="002F4565">
        <w:rPr>
          <w:lang w:val="pt-BR"/>
        </w:rPr>
        <w:t>vulnerabili</w:t>
      </w:r>
      <w:r w:rsidR="00F56DEA" w:rsidRPr="002F4565">
        <w:rPr>
          <w:lang w:val="pt-BR"/>
        </w:rPr>
        <w:t>dades múltiplas ou interconectadas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A. </w:t>
      </w:r>
      <w:r w:rsidR="00802E44" w:rsidRPr="002F4565">
        <w:rPr>
          <w:lang w:val="pt-BR"/>
        </w:rPr>
        <w:t>Crianças</w:t>
      </w:r>
    </w:p>
    <w:p w:rsidR="00115B91" w:rsidRPr="002F4565" w:rsidRDefault="00115B91" w:rsidP="0051636A">
      <w:pPr>
        <w:spacing w:before="120" w:after="0" w:line="240" w:lineRule="auto"/>
        <w:rPr>
          <w:lang w:val="pt-BR"/>
        </w:rPr>
      </w:pPr>
      <w:r w:rsidRPr="002F4565">
        <w:rPr>
          <w:lang w:val="pt-BR"/>
        </w:rPr>
        <w:t xml:space="preserve">34. </w:t>
      </w:r>
      <w:r w:rsidR="00F56DEA" w:rsidRPr="002F4565">
        <w:rPr>
          <w:lang w:val="pt-BR"/>
        </w:rPr>
        <w:t xml:space="preserve">A despeito da </w:t>
      </w:r>
      <w:r w:rsidRPr="002F4565">
        <w:rPr>
          <w:lang w:val="pt-BR"/>
        </w:rPr>
        <w:t>associ</w:t>
      </w:r>
      <w:r w:rsidR="00F21F55" w:rsidRPr="002F4565">
        <w:rPr>
          <w:lang w:val="pt-BR"/>
        </w:rPr>
        <w:t>ação</w:t>
      </w:r>
      <w:r w:rsidRPr="002F4565">
        <w:rPr>
          <w:lang w:val="pt-BR"/>
        </w:rPr>
        <w:t xml:space="preserve"> </w:t>
      </w:r>
      <w:r w:rsidR="00F56DEA" w:rsidRPr="002F4565">
        <w:rPr>
          <w:lang w:val="pt-BR"/>
        </w:rPr>
        <w:t xml:space="preserve">comum entre </w:t>
      </w:r>
      <w:r w:rsidR="0049090C" w:rsidRPr="002F4565">
        <w:rPr>
          <w:lang w:val="pt-BR"/>
        </w:rPr>
        <w:t>DNT</w:t>
      </w:r>
      <w:r w:rsidRPr="002F4565">
        <w:rPr>
          <w:lang w:val="pt-BR"/>
        </w:rPr>
        <w:t xml:space="preserve">s </w:t>
      </w:r>
      <w:r w:rsidR="00F56DEA" w:rsidRPr="002F4565">
        <w:rPr>
          <w:lang w:val="pt-BR"/>
        </w:rPr>
        <w:t>e pessoas idosas</w:t>
      </w:r>
      <w:r w:rsidRPr="002F4565">
        <w:rPr>
          <w:lang w:val="pt-BR"/>
        </w:rPr>
        <w:t xml:space="preserve">, </w:t>
      </w:r>
      <w:r w:rsidR="00F56DEA" w:rsidRPr="002F4565">
        <w:rPr>
          <w:lang w:val="pt-BR"/>
        </w:rPr>
        <w:t xml:space="preserve">as </w:t>
      </w:r>
      <w:r w:rsidR="00802E44" w:rsidRPr="002F4565">
        <w:rPr>
          <w:lang w:val="pt-BR"/>
        </w:rPr>
        <w:t>crianças</w:t>
      </w:r>
      <w:r w:rsidRPr="002F4565">
        <w:rPr>
          <w:lang w:val="pt-BR"/>
        </w:rPr>
        <w:t xml:space="preserve"> </w:t>
      </w:r>
      <w:r w:rsidR="0040430A" w:rsidRPr="002F4565">
        <w:rPr>
          <w:lang w:val="pt-BR"/>
        </w:rPr>
        <w:t>são</w:t>
      </w:r>
      <w:r w:rsidRPr="002F4565">
        <w:rPr>
          <w:lang w:val="pt-BR"/>
        </w:rPr>
        <w:t xml:space="preserve"> </w:t>
      </w:r>
      <w:r w:rsidR="00F21F55" w:rsidRPr="002F4565">
        <w:rPr>
          <w:lang w:val="pt-BR"/>
        </w:rPr>
        <w:t>também</w:t>
      </w:r>
      <w:r w:rsidRPr="002F4565">
        <w:rPr>
          <w:lang w:val="pt-BR"/>
        </w:rPr>
        <w:t xml:space="preserve"> </w:t>
      </w:r>
      <w:r w:rsidR="00F56DEA" w:rsidRPr="002F4565">
        <w:rPr>
          <w:lang w:val="pt-BR"/>
        </w:rPr>
        <w:t xml:space="preserve">afetadas pela gama total de </w:t>
      </w:r>
      <w:r w:rsidR="0049090C" w:rsidRPr="002F4565">
        <w:rPr>
          <w:lang w:val="pt-BR"/>
        </w:rPr>
        <w:t>DNT</w:t>
      </w:r>
      <w:r w:rsidRPr="002F4565">
        <w:rPr>
          <w:lang w:val="pt-BR"/>
        </w:rPr>
        <w:t xml:space="preserve">s, </w:t>
      </w:r>
      <w:r w:rsidR="00F21F55" w:rsidRPr="002F4565">
        <w:rPr>
          <w:lang w:val="pt-BR"/>
        </w:rPr>
        <w:t>inclusive</w:t>
      </w:r>
      <w:r w:rsidRPr="002F4565">
        <w:rPr>
          <w:lang w:val="pt-BR"/>
        </w:rPr>
        <w:t xml:space="preserve"> </w:t>
      </w:r>
      <w:r w:rsidR="00F56DEA" w:rsidRPr="002F4565">
        <w:rPr>
          <w:lang w:val="pt-BR"/>
        </w:rPr>
        <w:t>doenças cardíacas</w:t>
      </w:r>
      <w:r w:rsidRPr="002F4565">
        <w:rPr>
          <w:lang w:val="pt-BR"/>
        </w:rPr>
        <w:t xml:space="preserve">, </w:t>
      </w:r>
      <w:r w:rsidR="00F56DEA" w:rsidRPr="002F4565">
        <w:rPr>
          <w:lang w:val="pt-BR"/>
        </w:rPr>
        <w:t>câncer</w:t>
      </w:r>
      <w:r w:rsidRPr="002F4565">
        <w:rPr>
          <w:lang w:val="pt-BR"/>
        </w:rPr>
        <w:t xml:space="preserve"> </w:t>
      </w:r>
      <w:r w:rsidR="0049090C" w:rsidRPr="002F4565">
        <w:rPr>
          <w:lang w:val="pt-BR"/>
        </w:rPr>
        <w:t>e</w:t>
      </w:r>
      <w:r w:rsidRPr="002F4565">
        <w:rPr>
          <w:lang w:val="pt-BR"/>
        </w:rPr>
        <w:t xml:space="preserve"> diabetes, </w:t>
      </w:r>
      <w:r w:rsidR="00F56DEA" w:rsidRPr="002F4565">
        <w:rPr>
          <w:lang w:val="pt-BR"/>
        </w:rPr>
        <w:t xml:space="preserve">assim como por seus </w:t>
      </w:r>
      <w:r w:rsidR="006A31E1" w:rsidRPr="002F4565">
        <w:rPr>
          <w:lang w:val="pt-BR"/>
        </w:rPr>
        <w:t>fatores de risco</w:t>
      </w:r>
      <w:r w:rsidRPr="002F4565">
        <w:rPr>
          <w:lang w:val="pt-BR"/>
        </w:rPr>
        <w:t xml:space="preserve"> </w:t>
      </w:r>
      <w:r w:rsidR="00F56DEA" w:rsidRPr="002F4565">
        <w:rPr>
          <w:lang w:val="pt-BR"/>
        </w:rPr>
        <w:t xml:space="preserve">como sobrepeso </w:t>
      </w:r>
      <w:r w:rsidR="003F41C2" w:rsidRPr="002F4565">
        <w:rPr>
          <w:lang w:val="pt-BR"/>
        </w:rPr>
        <w:t>ou</w:t>
      </w:r>
      <w:r w:rsidRPr="002F4565">
        <w:rPr>
          <w:lang w:val="pt-BR"/>
        </w:rPr>
        <w:t xml:space="preserve"> </w:t>
      </w:r>
      <w:proofErr w:type="gramStart"/>
      <w:r w:rsidRPr="002F4565">
        <w:rPr>
          <w:lang w:val="pt-BR"/>
        </w:rPr>
        <w:t>obes</w:t>
      </w:r>
      <w:r w:rsidR="00F56DEA" w:rsidRPr="002F4565">
        <w:rPr>
          <w:lang w:val="pt-BR"/>
        </w:rPr>
        <w:t>idad</w:t>
      </w:r>
      <w:r w:rsidRPr="002F4565">
        <w:rPr>
          <w:lang w:val="pt-BR"/>
        </w:rPr>
        <w:t>e.</w:t>
      </w:r>
      <w:proofErr w:type="gramEnd"/>
      <w:r w:rsidRPr="002F4565">
        <w:rPr>
          <w:vertAlign w:val="superscript"/>
          <w:lang w:val="pt-BR"/>
        </w:rPr>
        <w:t>51</w:t>
      </w:r>
      <w:r w:rsidRPr="002F4565">
        <w:rPr>
          <w:lang w:val="pt-BR"/>
        </w:rPr>
        <w:t xml:space="preserve"> </w:t>
      </w:r>
      <w:r w:rsidR="00F56DEA" w:rsidRPr="002F4565">
        <w:rPr>
          <w:lang w:val="pt-BR"/>
        </w:rPr>
        <w:t xml:space="preserve">As </w:t>
      </w:r>
      <w:r w:rsidR="0049090C" w:rsidRPr="002F4565">
        <w:rPr>
          <w:lang w:val="pt-BR"/>
        </w:rPr>
        <w:t>DNT</w:t>
      </w:r>
      <w:r w:rsidRPr="002F4565">
        <w:rPr>
          <w:lang w:val="pt-BR"/>
        </w:rPr>
        <w:t xml:space="preserve">s </w:t>
      </w:r>
      <w:r w:rsidR="0049090C" w:rsidRPr="002F4565">
        <w:rPr>
          <w:lang w:val="pt-BR"/>
        </w:rPr>
        <w:t>e</w:t>
      </w:r>
      <w:r w:rsidRPr="002F4565">
        <w:rPr>
          <w:lang w:val="pt-BR"/>
        </w:rPr>
        <w:t xml:space="preserve"> </w:t>
      </w:r>
      <w:r w:rsidR="0040430A" w:rsidRPr="002F4565">
        <w:rPr>
          <w:lang w:val="pt-BR"/>
        </w:rPr>
        <w:t>obesidade</w:t>
      </w:r>
      <w:r w:rsidRPr="002F4565">
        <w:rPr>
          <w:lang w:val="pt-BR"/>
        </w:rPr>
        <w:t xml:space="preserve"> </w:t>
      </w:r>
      <w:r w:rsidR="00F56DEA" w:rsidRPr="002F4565">
        <w:rPr>
          <w:lang w:val="pt-BR"/>
        </w:rPr>
        <w:t xml:space="preserve">relacionadas com a dieta afetam até mesmo as </w:t>
      </w:r>
      <w:r w:rsidR="00802E44" w:rsidRPr="002F4565">
        <w:rPr>
          <w:lang w:val="pt-BR"/>
        </w:rPr>
        <w:t>crianças</w:t>
      </w:r>
      <w:r w:rsidR="00F56DEA" w:rsidRPr="002F4565">
        <w:rPr>
          <w:lang w:val="pt-BR"/>
        </w:rPr>
        <w:t xml:space="preserve"> pequenas</w:t>
      </w:r>
      <w:r w:rsidRPr="002F4565">
        <w:rPr>
          <w:lang w:val="pt-BR"/>
        </w:rPr>
        <w:t xml:space="preserve">. </w:t>
      </w:r>
      <w:r w:rsidR="00624BDC" w:rsidRPr="002F4565">
        <w:rPr>
          <w:lang w:val="pt-BR"/>
        </w:rPr>
        <w:t>Por exemplo</w:t>
      </w:r>
      <w:r w:rsidRPr="002F4565">
        <w:rPr>
          <w:lang w:val="pt-BR"/>
        </w:rPr>
        <w:t xml:space="preserve">, </w:t>
      </w:r>
      <w:r w:rsidR="0049090C" w:rsidRPr="002F4565">
        <w:rPr>
          <w:lang w:val="pt-BR"/>
        </w:rPr>
        <w:t>d</w:t>
      </w:r>
      <w:r w:rsidR="00F56DEA" w:rsidRPr="002F4565">
        <w:rPr>
          <w:lang w:val="pt-BR"/>
        </w:rPr>
        <w:t xml:space="preserve">os </w:t>
      </w:r>
      <w:r w:rsidRPr="002F4565">
        <w:rPr>
          <w:lang w:val="pt-BR"/>
        </w:rPr>
        <w:t xml:space="preserve">500 </w:t>
      </w:r>
      <w:r w:rsidR="006A31E1" w:rsidRPr="002F4565">
        <w:rPr>
          <w:lang w:val="pt-BR"/>
        </w:rPr>
        <w:t>milhões</w:t>
      </w:r>
      <w:r w:rsidRPr="002F4565">
        <w:rPr>
          <w:lang w:val="pt-BR"/>
        </w:rPr>
        <w:t xml:space="preserve"> </w:t>
      </w:r>
      <w:r w:rsidR="00F56DEA" w:rsidRPr="002F4565">
        <w:rPr>
          <w:lang w:val="pt-BR"/>
        </w:rPr>
        <w:t>de obes</w:t>
      </w:r>
      <w:r w:rsidR="00703835" w:rsidRPr="002F4565">
        <w:rPr>
          <w:lang w:val="pt-BR"/>
        </w:rPr>
        <w:t>o</w:t>
      </w:r>
      <w:r w:rsidR="00F56DEA" w:rsidRPr="002F4565">
        <w:rPr>
          <w:lang w:val="pt-BR"/>
        </w:rPr>
        <w:t xml:space="preserve">s em todo o mundo </w:t>
      </w:r>
      <w:r w:rsidR="00FB4DE4" w:rsidRPr="002F4565">
        <w:rPr>
          <w:lang w:val="pt-BR"/>
        </w:rPr>
        <w:t>em</w:t>
      </w:r>
      <w:r w:rsidRPr="002F4565">
        <w:rPr>
          <w:lang w:val="pt-BR"/>
        </w:rPr>
        <w:t xml:space="preserve"> 2008, </w:t>
      </w:r>
      <w:r w:rsidR="00F56DEA" w:rsidRPr="002F4565">
        <w:rPr>
          <w:lang w:val="pt-BR"/>
        </w:rPr>
        <w:t xml:space="preserve">mais de </w:t>
      </w:r>
      <w:r w:rsidRPr="002F4565">
        <w:rPr>
          <w:lang w:val="pt-BR"/>
        </w:rPr>
        <w:t xml:space="preserve">42 </w:t>
      </w:r>
      <w:r w:rsidR="006A31E1" w:rsidRPr="002F4565">
        <w:rPr>
          <w:lang w:val="pt-BR"/>
        </w:rPr>
        <w:t>milhões</w:t>
      </w:r>
      <w:r w:rsidRPr="002F4565">
        <w:rPr>
          <w:lang w:val="pt-BR"/>
        </w:rPr>
        <w:t xml:space="preserve"> </w:t>
      </w:r>
      <w:r w:rsidR="00F56DEA" w:rsidRPr="002F4565">
        <w:rPr>
          <w:lang w:val="pt-BR"/>
        </w:rPr>
        <w:t xml:space="preserve">eram </w:t>
      </w:r>
      <w:r w:rsidR="00802E44" w:rsidRPr="002F4565">
        <w:rPr>
          <w:lang w:val="pt-BR"/>
        </w:rPr>
        <w:t>crianças</w:t>
      </w:r>
      <w:r w:rsidRPr="002F4565">
        <w:rPr>
          <w:lang w:val="pt-BR"/>
        </w:rPr>
        <w:t xml:space="preserve"> </w:t>
      </w:r>
      <w:r w:rsidR="00F56DEA" w:rsidRPr="002F4565">
        <w:rPr>
          <w:lang w:val="pt-BR"/>
        </w:rPr>
        <w:t>com menos cinco anos</w:t>
      </w:r>
      <w:r w:rsidRPr="002F4565">
        <w:rPr>
          <w:lang w:val="pt-BR"/>
        </w:rPr>
        <w:t xml:space="preserve">, </w:t>
      </w:r>
      <w:r w:rsidR="00F56DEA" w:rsidRPr="002F4565">
        <w:rPr>
          <w:lang w:val="pt-BR"/>
        </w:rPr>
        <w:t xml:space="preserve">sendo que </w:t>
      </w:r>
      <w:r w:rsidRPr="002F4565">
        <w:rPr>
          <w:lang w:val="pt-BR"/>
        </w:rPr>
        <w:t xml:space="preserve">35 </w:t>
      </w:r>
      <w:r w:rsidR="006A31E1" w:rsidRPr="002F4565">
        <w:rPr>
          <w:lang w:val="pt-BR"/>
        </w:rPr>
        <w:t>milhões</w:t>
      </w:r>
      <w:r w:rsidRPr="002F4565">
        <w:rPr>
          <w:lang w:val="pt-BR"/>
        </w:rPr>
        <w:t xml:space="preserve"> </w:t>
      </w:r>
      <w:r w:rsidR="00F56DEA" w:rsidRPr="002F4565">
        <w:rPr>
          <w:lang w:val="pt-BR"/>
        </w:rPr>
        <w:t xml:space="preserve">destas </w:t>
      </w:r>
      <w:r w:rsidR="00802E44" w:rsidRPr="002F4565">
        <w:rPr>
          <w:lang w:val="pt-BR"/>
        </w:rPr>
        <w:t>crianças</w:t>
      </w:r>
      <w:r w:rsidRPr="002F4565">
        <w:rPr>
          <w:lang w:val="pt-BR"/>
        </w:rPr>
        <w:t xml:space="preserve"> </w:t>
      </w:r>
      <w:r w:rsidR="00703835" w:rsidRPr="002F4565">
        <w:rPr>
          <w:lang w:val="pt-BR"/>
        </w:rPr>
        <w:t xml:space="preserve">residiam </w:t>
      </w:r>
      <w:r w:rsidR="00FB4DE4" w:rsidRPr="002F4565">
        <w:rPr>
          <w:lang w:val="pt-BR"/>
        </w:rPr>
        <w:t>em</w:t>
      </w:r>
      <w:r w:rsidRPr="002F4565">
        <w:rPr>
          <w:lang w:val="pt-BR"/>
        </w:rPr>
        <w:t xml:space="preserve"> </w:t>
      </w:r>
      <w:r w:rsidR="00FB4DE4" w:rsidRPr="002F4565">
        <w:rPr>
          <w:lang w:val="pt-BR"/>
        </w:rPr>
        <w:t xml:space="preserve">países em </w:t>
      </w:r>
      <w:proofErr w:type="gramStart"/>
      <w:r w:rsidR="00FB4DE4" w:rsidRPr="002F4565">
        <w:rPr>
          <w:lang w:val="pt-BR"/>
        </w:rPr>
        <w:t>desenvolvimento</w:t>
      </w:r>
      <w:r w:rsidRPr="002F4565">
        <w:rPr>
          <w:lang w:val="pt-BR"/>
        </w:rPr>
        <w:t>.</w:t>
      </w:r>
      <w:proofErr w:type="gramEnd"/>
      <w:r w:rsidRPr="002F4565">
        <w:rPr>
          <w:vertAlign w:val="superscript"/>
          <w:lang w:val="pt-BR"/>
        </w:rPr>
        <w:t>52</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35. </w:t>
      </w:r>
      <w:r w:rsidR="00F56DEA" w:rsidRPr="002F4565">
        <w:rPr>
          <w:lang w:val="pt-BR"/>
        </w:rPr>
        <w:t>As c</w:t>
      </w:r>
      <w:r w:rsidR="00802E44" w:rsidRPr="002F4565">
        <w:rPr>
          <w:lang w:val="pt-BR"/>
        </w:rPr>
        <w:t>rianças</w:t>
      </w:r>
      <w:r w:rsidRPr="002F4565">
        <w:rPr>
          <w:lang w:val="pt-BR"/>
        </w:rPr>
        <w:t xml:space="preserve"> </w:t>
      </w:r>
      <w:r w:rsidR="0040430A" w:rsidRPr="002F4565">
        <w:rPr>
          <w:lang w:val="pt-BR"/>
        </w:rPr>
        <w:t>são</w:t>
      </w:r>
      <w:r w:rsidRPr="002F4565">
        <w:rPr>
          <w:lang w:val="pt-BR"/>
        </w:rPr>
        <w:t xml:space="preserve"> parti</w:t>
      </w:r>
      <w:r w:rsidR="00FB4DE4" w:rsidRPr="002F4565">
        <w:rPr>
          <w:lang w:val="pt-BR"/>
        </w:rPr>
        <w:t>cularmente</w:t>
      </w:r>
      <w:r w:rsidRPr="002F4565">
        <w:rPr>
          <w:lang w:val="pt-BR"/>
        </w:rPr>
        <w:t xml:space="preserve"> vulner</w:t>
      </w:r>
      <w:r w:rsidR="00802E44" w:rsidRPr="002F4565">
        <w:rPr>
          <w:lang w:val="pt-BR"/>
        </w:rPr>
        <w:t>áveis</w:t>
      </w:r>
      <w:r w:rsidRPr="002F4565">
        <w:rPr>
          <w:lang w:val="pt-BR"/>
        </w:rPr>
        <w:t xml:space="preserve"> </w:t>
      </w:r>
      <w:r w:rsidR="00F56DEA" w:rsidRPr="002F4565">
        <w:rPr>
          <w:lang w:val="pt-BR"/>
        </w:rPr>
        <w:t xml:space="preserve">às </w:t>
      </w:r>
      <w:r w:rsidR="0049090C" w:rsidRPr="002F4565">
        <w:rPr>
          <w:lang w:val="pt-BR"/>
        </w:rPr>
        <w:t>DNTs relacionadas com a dieta</w:t>
      </w:r>
      <w:r w:rsidR="00F56DEA" w:rsidRPr="002F4565">
        <w:rPr>
          <w:lang w:val="pt-BR"/>
        </w:rPr>
        <w:t>,</w:t>
      </w:r>
      <w:r w:rsidRPr="002F4565">
        <w:rPr>
          <w:lang w:val="pt-BR"/>
        </w:rPr>
        <w:t xml:space="preserve"> </w:t>
      </w:r>
      <w:r w:rsidR="00F56DEA" w:rsidRPr="002F4565">
        <w:rPr>
          <w:lang w:val="pt-BR"/>
        </w:rPr>
        <w:t xml:space="preserve">por serem </w:t>
      </w:r>
      <w:r w:rsidRPr="002F4565">
        <w:rPr>
          <w:lang w:val="pt-BR"/>
        </w:rPr>
        <w:t>dependent</w:t>
      </w:r>
      <w:r w:rsidR="00F56DEA" w:rsidRPr="002F4565">
        <w:rPr>
          <w:lang w:val="pt-BR"/>
        </w:rPr>
        <w:t>es</w:t>
      </w:r>
      <w:r w:rsidRPr="002F4565">
        <w:rPr>
          <w:lang w:val="pt-BR"/>
        </w:rPr>
        <w:t xml:space="preserve"> </w:t>
      </w:r>
      <w:r w:rsidR="00F56DEA" w:rsidRPr="002F4565">
        <w:rPr>
          <w:lang w:val="pt-BR"/>
        </w:rPr>
        <w:t xml:space="preserve">de </w:t>
      </w:r>
      <w:r w:rsidR="00703835" w:rsidRPr="002F4565">
        <w:rPr>
          <w:lang w:val="pt-BR"/>
        </w:rPr>
        <w:t>terceiros</w:t>
      </w:r>
      <w:r w:rsidRPr="002F4565">
        <w:rPr>
          <w:lang w:val="pt-BR"/>
        </w:rPr>
        <w:t xml:space="preserve">, </w:t>
      </w:r>
      <w:r w:rsidR="00F56DEA" w:rsidRPr="002F4565">
        <w:rPr>
          <w:lang w:val="pt-BR"/>
        </w:rPr>
        <w:t xml:space="preserve">como os pais </w:t>
      </w:r>
      <w:r w:rsidR="003F41C2" w:rsidRPr="002F4565">
        <w:rPr>
          <w:lang w:val="pt-BR"/>
        </w:rPr>
        <w:t>ou</w:t>
      </w:r>
      <w:r w:rsidRPr="002F4565">
        <w:rPr>
          <w:lang w:val="pt-BR"/>
        </w:rPr>
        <w:t xml:space="preserve"> </w:t>
      </w:r>
      <w:r w:rsidR="00072E1E" w:rsidRPr="002F4565">
        <w:rPr>
          <w:lang w:val="pt-BR"/>
        </w:rPr>
        <w:t>escola</w:t>
      </w:r>
      <w:r w:rsidRPr="002F4565">
        <w:rPr>
          <w:lang w:val="pt-BR"/>
        </w:rPr>
        <w:t xml:space="preserve">s, </w:t>
      </w:r>
      <w:r w:rsidR="00F56DEA" w:rsidRPr="002F4565">
        <w:rPr>
          <w:lang w:val="pt-BR"/>
        </w:rPr>
        <w:t xml:space="preserve">no que se refere a </w:t>
      </w:r>
      <w:r w:rsidR="0049090C" w:rsidRPr="002F4565">
        <w:rPr>
          <w:lang w:val="pt-BR"/>
        </w:rPr>
        <w:t>alimento</w:t>
      </w:r>
      <w:r w:rsidR="00F56DEA" w:rsidRPr="002F4565">
        <w:rPr>
          <w:lang w:val="pt-BR"/>
        </w:rPr>
        <w:t>s</w:t>
      </w:r>
      <w:r w:rsidR="00703835" w:rsidRPr="002F4565">
        <w:rPr>
          <w:lang w:val="pt-BR"/>
        </w:rPr>
        <w:t>,</w:t>
      </w:r>
      <w:r w:rsidRPr="002F4565">
        <w:rPr>
          <w:lang w:val="pt-BR"/>
        </w:rPr>
        <w:t xml:space="preserve"> </w:t>
      </w:r>
      <w:r w:rsidR="003F41C2" w:rsidRPr="002F4565">
        <w:rPr>
          <w:lang w:val="pt-BR"/>
        </w:rPr>
        <w:t>ou</w:t>
      </w:r>
      <w:r w:rsidRPr="002F4565">
        <w:rPr>
          <w:lang w:val="pt-BR"/>
        </w:rPr>
        <w:t xml:space="preserve"> </w:t>
      </w:r>
      <w:r w:rsidR="00F56DEA" w:rsidRPr="002F4565">
        <w:rPr>
          <w:lang w:val="pt-BR"/>
        </w:rPr>
        <w:t xml:space="preserve">porque </w:t>
      </w:r>
      <w:r w:rsidR="0040430A" w:rsidRPr="002F4565">
        <w:rPr>
          <w:lang w:val="pt-BR"/>
        </w:rPr>
        <w:t>são</w:t>
      </w:r>
      <w:r w:rsidRPr="002F4565">
        <w:rPr>
          <w:lang w:val="pt-BR"/>
        </w:rPr>
        <w:t xml:space="preserve"> </w:t>
      </w:r>
      <w:r w:rsidR="00F56DEA" w:rsidRPr="002F4565">
        <w:rPr>
          <w:lang w:val="pt-BR"/>
        </w:rPr>
        <w:t xml:space="preserve">mais </w:t>
      </w:r>
      <w:r w:rsidRPr="002F4565">
        <w:rPr>
          <w:lang w:val="pt-BR"/>
        </w:rPr>
        <w:t>suscept</w:t>
      </w:r>
      <w:r w:rsidR="00F56DEA" w:rsidRPr="002F4565">
        <w:rPr>
          <w:lang w:val="pt-BR"/>
        </w:rPr>
        <w:t xml:space="preserve">íveis à pressão da </w:t>
      </w:r>
      <w:proofErr w:type="gramStart"/>
      <w:r w:rsidR="00F56DEA" w:rsidRPr="002F4565">
        <w:rPr>
          <w:lang w:val="pt-BR"/>
        </w:rPr>
        <w:t>propaganda</w:t>
      </w:r>
      <w:r w:rsidRPr="002F4565">
        <w:rPr>
          <w:lang w:val="pt-BR"/>
        </w:rPr>
        <w:t>.</w:t>
      </w:r>
      <w:proofErr w:type="gramEnd"/>
      <w:r w:rsidRPr="002F4565">
        <w:rPr>
          <w:vertAlign w:val="superscript"/>
          <w:lang w:val="pt-BR"/>
        </w:rPr>
        <w:t>53</w:t>
      </w:r>
      <w:r w:rsidRPr="002F4565">
        <w:rPr>
          <w:lang w:val="pt-BR"/>
        </w:rPr>
        <w:t xml:space="preserve"> </w:t>
      </w:r>
      <w:r w:rsidR="00176DB8" w:rsidRPr="002F4565">
        <w:rPr>
          <w:lang w:val="pt-BR"/>
        </w:rPr>
        <w:t>Além disso</w:t>
      </w:r>
      <w:r w:rsidRPr="002F4565">
        <w:rPr>
          <w:lang w:val="pt-BR"/>
        </w:rPr>
        <w:t xml:space="preserve">, </w:t>
      </w:r>
      <w:r w:rsidR="0040430A" w:rsidRPr="002F4565">
        <w:rPr>
          <w:lang w:val="pt-BR"/>
        </w:rPr>
        <w:t>dietas</w:t>
      </w:r>
      <w:r w:rsidRPr="002F4565">
        <w:rPr>
          <w:lang w:val="pt-BR"/>
        </w:rPr>
        <w:t xml:space="preserve"> </w:t>
      </w:r>
      <w:r w:rsidR="00F56DEA" w:rsidRPr="002F4565">
        <w:rPr>
          <w:lang w:val="pt-BR"/>
        </w:rPr>
        <w:t xml:space="preserve">infantis não saudáveis podem ter graves </w:t>
      </w:r>
      <w:r w:rsidRPr="002F4565">
        <w:rPr>
          <w:lang w:val="pt-BR"/>
        </w:rPr>
        <w:t>consequ</w:t>
      </w:r>
      <w:r w:rsidR="007E67D2" w:rsidRPr="002F4565">
        <w:rPr>
          <w:lang w:val="pt-BR"/>
        </w:rPr>
        <w:t>ência</w:t>
      </w:r>
      <w:r w:rsidRPr="002F4565">
        <w:rPr>
          <w:lang w:val="pt-BR"/>
        </w:rPr>
        <w:t xml:space="preserve">s </w:t>
      </w:r>
      <w:r w:rsidR="00F56DEA" w:rsidRPr="002F4565">
        <w:rPr>
          <w:lang w:val="pt-BR"/>
        </w:rPr>
        <w:t>de saúde posteriormente na vida</w:t>
      </w:r>
      <w:r w:rsidR="00703835" w:rsidRPr="002F4565">
        <w:rPr>
          <w:lang w:val="pt-BR"/>
        </w:rPr>
        <w:t>,</w:t>
      </w:r>
      <w:r w:rsidR="00F56DEA" w:rsidRPr="002F4565">
        <w:rPr>
          <w:lang w:val="pt-BR"/>
        </w:rPr>
        <w:t xml:space="preserve"> devido à </w:t>
      </w:r>
      <w:r w:rsidRPr="002F4565">
        <w:rPr>
          <w:lang w:val="pt-BR"/>
        </w:rPr>
        <w:t>form</w:t>
      </w:r>
      <w:r w:rsidR="00F21F55" w:rsidRPr="002F4565">
        <w:rPr>
          <w:lang w:val="pt-BR"/>
        </w:rPr>
        <w:t>ação</w:t>
      </w:r>
      <w:r w:rsidRPr="002F4565">
        <w:rPr>
          <w:lang w:val="pt-BR"/>
        </w:rPr>
        <w:t xml:space="preserve"> </w:t>
      </w:r>
      <w:r w:rsidR="00F56DEA" w:rsidRPr="002F4565">
        <w:rPr>
          <w:lang w:val="pt-BR"/>
        </w:rPr>
        <w:t xml:space="preserve">inicial de hábitos </w:t>
      </w:r>
      <w:r w:rsidR="0049090C" w:rsidRPr="002F4565">
        <w:rPr>
          <w:lang w:val="pt-BR"/>
        </w:rPr>
        <w:t>e</w:t>
      </w:r>
      <w:r w:rsidRPr="002F4565">
        <w:rPr>
          <w:lang w:val="pt-BR"/>
        </w:rPr>
        <w:t xml:space="preserve"> </w:t>
      </w:r>
      <w:r w:rsidRPr="002F4565">
        <w:rPr>
          <w:lang w:val="pt-BR"/>
        </w:rPr>
        <w:lastRenderedPageBreak/>
        <w:t>prefer</w:t>
      </w:r>
      <w:r w:rsidR="007E67D2" w:rsidRPr="002F4565">
        <w:rPr>
          <w:lang w:val="pt-BR"/>
        </w:rPr>
        <w:t>ência</w:t>
      </w:r>
      <w:r w:rsidRPr="002F4565">
        <w:rPr>
          <w:lang w:val="pt-BR"/>
        </w:rPr>
        <w:t xml:space="preserve">s </w:t>
      </w:r>
      <w:r w:rsidR="00703835" w:rsidRPr="002F4565">
        <w:rPr>
          <w:lang w:val="pt-BR"/>
        </w:rPr>
        <w:t xml:space="preserve">alimentares </w:t>
      </w:r>
      <w:r w:rsidR="0049090C" w:rsidRPr="002F4565">
        <w:rPr>
          <w:lang w:val="pt-BR"/>
        </w:rPr>
        <w:t>e</w:t>
      </w:r>
      <w:r w:rsidRPr="002F4565">
        <w:rPr>
          <w:lang w:val="pt-BR"/>
        </w:rPr>
        <w:t xml:space="preserve"> </w:t>
      </w:r>
      <w:r w:rsidR="00F21F55" w:rsidRPr="002F4565">
        <w:rPr>
          <w:lang w:val="pt-BR"/>
        </w:rPr>
        <w:t>também</w:t>
      </w:r>
      <w:r w:rsidRPr="002F4565">
        <w:rPr>
          <w:lang w:val="pt-BR"/>
        </w:rPr>
        <w:t xml:space="preserve"> </w:t>
      </w:r>
      <w:r w:rsidR="00F56DEA" w:rsidRPr="002F4565">
        <w:rPr>
          <w:lang w:val="pt-BR"/>
        </w:rPr>
        <w:t xml:space="preserve">porque as </w:t>
      </w:r>
      <w:r w:rsidR="0049090C" w:rsidRPr="002F4565">
        <w:rPr>
          <w:lang w:val="pt-BR"/>
        </w:rPr>
        <w:t>DNT</w:t>
      </w:r>
      <w:r w:rsidRPr="002F4565">
        <w:rPr>
          <w:lang w:val="pt-BR"/>
        </w:rPr>
        <w:t xml:space="preserve">s </w:t>
      </w:r>
      <w:r w:rsidR="00F56DEA" w:rsidRPr="002F4565">
        <w:rPr>
          <w:lang w:val="pt-BR"/>
        </w:rPr>
        <w:t xml:space="preserve">na infância tendem a </w:t>
      </w:r>
      <w:r w:rsidRPr="002F4565">
        <w:rPr>
          <w:lang w:val="pt-BR"/>
        </w:rPr>
        <w:t>persist</w:t>
      </w:r>
      <w:r w:rsidR="00F56DEA" w:rsidRPr="002F4565">
        <w:rPr>
          <w:lang w:val="pt-BR"/>
        </w:rPr>
        <w:t>ir</w:t>
      </w:r>
      <w:r w:rsidRPr="002F4565">
        <w:rPr>
          <w:lang w:val="pt-BR"/>
        </w:rPr>
        <w:t xml:space="preserve"> </w:t>
      </w:r>
      <w:r w:rsidR="00F56DEA" w:rsidRPr="002F4565">
        <w:rPr>
          <w:lang w:val="pt-BR"/>
        </w:rPr>
        <w:t>na idade adulta</w:t>
      </w:r>
      <w:r w:rsidRPr="002F4565">
        <w:rPr>
          <w:lang w:val="pt-BR"/>
        </w:rPr>
        <w:t>.</w:t>
      </w:r>
    </w:p>
    <w:p w:rsidR="00115B91" w:rsidRPr="002F4565" w:rsidRDefault="00F56DEA" w:rsidP="0051636A">
      <w:pPr>
        <w:spacing w:before="120" w:after="0" w:line="240" w:lineRule="auto"/>
        <w:rPr>
          <w:lang w:val="pt-BR"/>
        </w:rPr>
      </w:pPr>
      <w:r w:rsidRPr="002F4565">
        <w:rPr>
          <w:lang w:val="pt-BR"/>
        </w:rPr>
        <w:t xml:space="preserve">Estudar </w:t>
      </w:r>
      <w:r w:rsidR="00FB4401" w:rsidRPr="002F4565">
        <w:rPr>
          <w:lang w:val="pt-BR"/>
        </w:rPr>
        <w:t>dietas não saudáveis</w:t>
      </w:r>
      <w:r w:rsidR="00115B91" w:rsidRPr="002F4565">
        <w:rPr>
          <w:lang w:val="pt-BR"/>
        </w:rPr>
        <w:t xml:space="preserve"> </w:t>
      </w:r>
      <w:r w:rsidRPr="002F4565">
        <w:rPr>
          <w:lang w:val="pt-BR"/>
        </w:rPr>
        <w:t xml:space="preserve">como fator de </w:t>
      </w:r>
      <w:r w:rsidR="006A31E1" w:rsidRPr="002F4565">
        <w:rPr>
          <w:lang w:val="pt-BR"/>
        </w:rPr>
        <w:t>risco</w:t>
      </w:r>
      <w:r w:rsidR="00115B91" w:rsidRPr="002F4565">
        <w:rPr>
          <w:lang w:val="pt-BR"/>
        </w:rPr>
        <w:t xml:space="preserve"> </w:t>
      </w:r>
      <w:r w:rsidRPr="002F4565">
        <w:rPr>
          <w:lang w:val="pt-BR"/>
        </w:rPr>
        <w:t xml:space="preserve">de </w:t>
      </w:r>
      <w:r w:rsidR="0049090C" w:rsidRPr="002F4565">
        <w:rPr>
          <w:lang w:val="pt-BR"/>
        </w:rPr>
        <w:t>DNT</w:t>
      </w:r>
      <w:r w:rsidR="00115B91" w:rsidRPr="002F4565">
        <w:rPr>
          <w:lang w:val="pt-BR"/>
        </w:rPr>
        <w:t xml:space="preserve">s </w:t>
      </w:r>
      <w:r w:rsidR="00FB4DE4" w:rsidRPr="002F4565">
        <w:rPr>
          <w:lang w:val="pt-BR"/>
        </w:rPr>
        <w:t>em</w:t>
      </w:r>
      <w:r w:rsidR="00115B91" w:rsidRPr="002F4565">
        <w:rPr>
          <w:lang w:val="pt-BR"/>
        </w:rPr>
        <w:t xml:space="preserve"> </w:t>
      </w:r>
      <w:r w:rsidR="00802E44" w:rsidRPr="002F4565">
        <w:rPr>
          <w:lang w:val="pt-BR"/>
        </w:rPr>
        <w:t>crianças</w:t>
      </w:r>
      <w:r w:rsidR="00115B91" w:rsidRPr="002F4565">
        <w:rPr>
          <w:lang w:val="pt-BR"/>
        </w:rPr>
        <w:t xml:space="preserve"> </w:t>
      </w:r>
      <w:r w:rsidRPr="002F4565">
        <w:rPr>
          <w:lang w:val="pt-BR"/>
        </w:rPr>
        <w:t xml:space="preserve">pode trazer ganhos substanciais para a </w:t>
      </w:r>
      <w:r w:rsidR="0049090C" w:rsidRPr="002F4565">
        <w:rPr>
          <w:lang w:val="pt-BR"/>
        </w:rPr>
        <w:t>saúde</w:t>
      </w:r>
      <w:r w:rsidR="00115B91" w:rsidRPr="002F4565">
        <w:rPr>
          <w:lang w:val="pt-BR"/>
        </w:rPr>
        <w:t xml:space="preserve"> </w:t>
      </w:r>
      <w:r w:rsidR="0049090C" w:rsidRPr="002F4565">
        <w:rPr>
          <w:lang w:val="pt-BR"/>
        </w:rPr>
        <w:t>e</w:t>
      </w:r>
      <w:r w:rsidR="00115B91" w:rsidRPr="002F4565">
        <w:rPr>
          <w:lang w:val="pt-BR"/>
        </w:rPr>
        <w:t xml:space="preserve"> redu</w:t>
      </w:r>
      <w:r w:rsidRPr="002F4565">
        <w:rPr>
          <w:lang w:val="pt-BR"/>
        </w:rPr>
        <w:t xml:space="preserve">zir </w:t>
      </w:r>
      <w:r w:rsidR="00261A8A" w:rsidRPr="002F4565">
        <w:rPr>
          <w:lang w:val="pt-BR"/>
        </w:rPr>
        <w:t>o</w:t>
      </w:r>
      <w:r w:rsidR="00115B91" w:rsidRPr="002F4565">
        <w:rPr>
          <w:lang w:val="pt-BR"/>
        </w:rPr>
        <w:t xml:space="preserve"> </w:t>
      </w:r>
      <w:r w:rsidR="00F21F55" w:rsidRPr="002F4565">
        <w:rPr>
          <w:lang w:val="pt-BR"/>
        </w:rPr>
        <w:t>ônus</w:t>
      </w:r>
      <w:r w:rsidR="00115B91" w:rsidRPr="002F4565">
        <w:rPr>
          <w:lang w:val="pt-BR"/>
        </w:rPr>
        <w:t xml:space="preserve"> </w:t>
      </w:r>
      <w:r w:rsidR="0049090C" w:rsidRPr="002F4565">
        <w:rPr>
          <w:lang w:val="pt-BR"/>
        </w:rPr>
        <w:t>de</w:t>
      </w:r>
      <w:r w:rsidR="00115B91" w:rsidRPr="002F4565">
        <w:rPr>
          <w:lang w:val="pt-BR"/>
        </w:rPr>
        <w:t xml:space="preserve"> </w:t>
      </w:r>
      <w:r w:rsidRPr="002F4565">
        <w:rPr>
          <w:lang w:val="pt-BR"/>
        </w:rPr>
        <w:t xml:space="preserve">gastos com atendimento à </w:t>
      </w:r>
      <w:r w:rsidR="0049090C" w:rsidRPr="002F4565">
        <w:rPr>
          <w:lang w:val="pt-BR"/>
        </w:rPr>
        <w:t>saúde</w:t>
      </w:r>
      <w:r w:rsidRPr="002F4565">
        <w:rPr>
          <w:lang w:val="pt-BR"/>
        </w:rPr>
        <w:t xml:space="preserve"> durante o ciclo de vida </w:t>
      </w:r>
      <w:proofErr w:type="gramStart"/>
      <w:r w:rsidRPr="002F4565">
        <w:rPr>
          <w:lang w:val="pt-BR"/>
        </w:rPr>
        <w:t>inteiro</w:t>
      </w:r>
      <w:r w:rsidR="00115B91" w:rsidRPr="002F4565">
        <w:rPr>
          <w:lang w:val="pt-BR"/>
        </w:rPr>
        <w:t>.</w:t>
      </w:r>
      <w:proofErr w:type="gramEnd"/>
      <w:r w:rsidR="00115B91" w:rsidRPr="002F4565">
        <w:rPr>
          <w:vertAlign w:val="superscript"/>
          <w:lang w:val="pt-BR"/>
        </w:rPr>
        <w:t>54</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36. </w:t>
      </w:r>
      <w:r w:rsidR="00176DB8" w:rsidRPr="002F4565">
        <w:rPr>
          <w:lang w:val="pt-BR"/>
        </w:rPr>
        <w:t xml:space="preserve">Além </w:t>
      </w:r>
      <w:r w:rsidR="00BC3868" w:rsidRPr="002F4565">
        <w:rPr>
          <w:lang w:val="pt-BR"/>
        </w:rPr>
        <w:t>da publicidade</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alimento</w:t>
      </w:r>
      <w:r w:rsidR="00F56DEA" w:rsidRPr="002F4565">
        <w:rPr>
          <w:lang w:val="pt-BR"/>
        </w:rPr>
        <w:t>s não saudáveis</w:t>
      </w:r>
      <w:r w:rsidRPr="002F4565">
        <w:rPr>
          <w:lang w:val="pt-BR"/>
        </w:rPr>
        <w:t xml:space="preserve"> </w:t>
      </w:r>
      <w:r w:rsidR="00F56DEA" w:rsidRPr="002F4565">
        <w:rPr>
          <w:lang w:val="pt-BR"/>
        </w:rPr>
        <w:t>dirigid</w:t>
      </w:r>
      <w:r w:rsidR="00703835" w:rsidRPr="002F4565">
        <w:rPr>
          <w:lang w:val="pt-BR"/>
        </w:rPr>
        <w:t>a</w:t>
      </w:r>
      <w:r w:rsidR="00F56DEA" w:rsidRPr="002F4565">
        <w:rPr>
          <w:lang w:val="pt-BR"/>
        </w:rPr>
        <w:t xml:space="preserve"> a </w:t>
      </w:r>
      <w:r w:rsidR="00802E44" w:rsidRPr="002F4565">
        <w:rPr>
          <w:lang w:val="pt-BR"/>
        </w:rPr>
        <w:t>crianças</w:t>
      </w:r>
      <w:r w:rsidRPr="002F4565">
        <w:rPr>
          <w:lang w:val="pt-BR"/>
        </w:rPr>
        <w:t xml:space="preserve">, </w:t>
      </w:r>
      <w:r w:rsidR="00F21F55" w:rsidRPr="002F4565">
        <w:rPr>
          <w:lang w:val="pt-BR"/>
        </w:rPr>
        <w:t>inclusive</w:t>
      </w:r>
      <w:r w:rsidRPr="002F4565">
        <w:rPr>
          <w:lang w:val="pt-BR"/>
        </w:rPr>
        <w:t xml:space="preserve"> </w:t>
      </w:r>
      <w:r w:rsidR="00F56DEA" w:rsidRPr="002F4565">
        <w:rPr>
          <w:lang w:val="pt-BR"/>
        </w:rPr>
        <w:t>por meio de brinquedos como brindes</w:t>
      </w:r>
      <w:r w:rsidRPr="002F4565">
        <w:rPr>
          <w:lang w:val="pt-BR"/>
        </w:rPr>
        <w:t xml:space="preserve">, </w:t>
      </w:r>
      <w:r w:rsidR="00F56DEA" w:rsidRPr="002F4565">
        <w:rPr>
          <w:lang w:val="pt-BR"/>
        </w:rPr>
        <w:t>competições</w:t>
      </w:r>
      <w:r w:rsidRPr="002F4565">
        <w:rPr>
          <w:lang w:val="pt-BR"/>
        </w:rPr>
        <w:t xml:space="preserve">, </w:t>
      </w:r>
      <w:r w:rsidR="00F56DEA" w:rsidRPr="002F4565">
        <w:rPr>
          <w:lang w:val="pt-BR"/>
        </w:rPr>
        <w:t>redes sociais</w:t>
      </w:r>
      <w:r w:rsidRPr="002F4565">
        <w:rPr>
          <w:lang w:val="pt-BR"/>
        </w:rPr>
        <w:t xml:space="preserve">, </w:t>
      </w:r>
      <w:r w:rsidR="00F56DEA" w:rsidRPr="002F4565">
        <w:rPr>
          <w:lang w:val="pt-BR"/>
        </w:rPr>
        <w:t>personagens de desenho animado</w:t>
      </w:r>
      <w:r w:rsidRPr="002F4565">
        <w:rPr>
          <w:lang w:val="pt-BR"/>
        </w:rPr>
        <w:t xml:space="preserve">, </w:t>
      </w:r>
      <w:r w:rsidR="00F56DEA" w:rsidRPr="002F4565">
        <w:rPr>
          <w:lang w:val="pt-BR"/>
        </w:rPr>
        <w:t>jogos</w:t>
      </w:r>
      <w:r w:rsidRPr="002F4565">
        <w:rPr>
          <w:lang w:val="pt-BR"/>
        </w:rPr>
        <w:t>, televis</w:t>
      </w:r>
      <w:r w:rsidR="00F56DEA" w:rsidRPr="002F4565">
        <w:rPr>
          <w:lang w:val="pt-BR"/>
        </w:rPr>
        <w:t>ão</w:t>
      </w:r>
      <w:r w:rsidRPr="002F4565">
        <w:rPr>
          <w:lang w:val="pt-BR"/>
        </w:rPr>
        <w:t xml:space="preserve">, </w:t>
      </w:r>
      <w:r w:rsidR="00F56DEA" w:rsidRPr="002F4565">
        <w:rPr>
          <w:lang w:val="pt-BR"/>
        </w:rPr>
        <w:t>cinema</w:t>
      </w:r>
      <w:r w:rsidRPr="002F4565">
        <w:rPr>
          <w:lang w:val="pt-BR"/>
        </w:rPr>
        <w:t xml:space="preserve">, </w:t>
      </w:r>
      <w:r w:rsidR="00F56DEA" w:rsidRPr="002F4565">
        <w:rPr>
          <w:lang w:val="pt-BR"/>
        </w:rPr>
        <w:t>s</w:t>
      </w:r>
      <w:r w:rsidRPr="002F4565">
        <w:rPr>
          <w:lang w:val="pt-BR"/>
        </w:rPr>
        <w:t xml:space="preserve">ites </w:t>
      </w:r>
      <w:r w:rsidR="00F56DEA" w:rsidRPr="002F4565">
        <w:rPr>
          <w:lang w:val="pt-BR"/>
        </w:rPr>
        <w:t xml:space="preserve">interativos </w:t>
      </w:r>
      <w:r w:rsidR="0049090C" w:rsidRPr="002F4565">
        <w:rPr>
          <w:lang w:val="pt-BR"/>
        </w:rPr>
        <w:t>e</w:t>
      </w:r>
      <w:r w:rsidRPr="002F4565">
        <w:rPr>
          <w:lang w:val="pt-BR"/>
        </w:rPr>
        <w:t xml:space="preserve"> </w:t>
      </w:r>
      <w:r w:rsidR="00FB4DE4" w:rsidRPr="002F4565">
        <w:rPr>
          <w:lang w:val="pt-BR"/>
        </w:rPr>
        <w:t>em</w:t>
      </w:r>
      <w:r w:rsidRPr="002F4565">
        <w:rPr>
          <w:lang w:val="pt-BR"/>
        </w:rPr>
        <w:t xml:space="preserve"> </w:t>
      </w:r>
      <w:r w:rsidR="00F56DEA" w:rsidRPr="002F4565">
        <w:rPr>
          <w:lang w:val="pt-BR"/>
        </w:rPr>
        <w:t xml:space="preserve">ambientes orientados para jovens como as </w:t>
      </w:r>
      <w:r w:rsidR="00072E1E" w:rsidRPr="002F4565">
        <w:rPr>
          <w:lang w:val="pt-BR"/>
        </w:rPr>
        <w:t>escola</w:t>
      </w:r>
      <w:r w:rsidRPr="002F4565">
        <w:rPr>
          <w:lang w:val="pt-BR"/>
        </w:rPr>
        <w:t xml:space="preserve">s </w:t>
      </w:r>
      <w:r w:rsidR="0049090C" w:rsidRPr="002F4565">
        <w:rPr>
          <w:lang w:val="pt-BR"/>
        </w:rPr>
        <w:t>e</w:t>
      </w:r>
      <w:r w:rsidRPr="002F4565">
        <w:rPr>
          <w:lang w:val="pt-BR"/>
        </w:rPr>
        <w:t xml:space="preserve"> </w:t>
      </w:r>
      <w:r w:rsidR="00F56DEA" w:rsidRPr="002F4565">
        <w:rPr>
          <w:lang w:val="pt-BR"/>
        </w:rPr>
        <w:t xml:space="preserve">centros de </w:t>
      </w:r>
      <w:r w:rsidRPr="002F4565">
        <w:rPr>
          <w:lang w:val="pt-BR"/>
        </w:rPr>
        <w:t>recre</w:t>
      </w:r>
      <w:r w:rsidR="00F21F55" w:rsidRPr="002F4565">
        <w:rPr>
          <w:lang w:val="pt-BR"/>
        </w:rPr>
        <w:t>ação</w:t>
      </w:r>
      <w:r w:rsidRPr="002F4565">
        <w:rPr>
          <w:lang w:val="pt-BR"/>
        </w:rPr>
        <w:t xml:space="preserve">, </w:t>
      </w:r>
      <w:r w:rsidR="00F56DEA" w:rsidRPr="002F4565">
        <w:rPr>
          <w:lang w:val="pt-BR"/>
        </w:rPr>
        <w:t xml:space="preserve">os pais </w:t>
      </w:r>
      <w:r w:rsidR="00F21F55" w:rsidRPr="002F4565">
        <w:rPr>
          <w:lang w:val="pt-BR"/>
        </w:rPr>
        <w:t>também</w:t>
      </w:r>
      <w:r w:rsidRPr="002F4565">
        <w:rPr>
          <w:lang w:val="pt-BR"/>
        </w:rPr>
        <w:t xml:space="preserve"> </w:t>
      </w:r>
      <w:r w:rsidR="00F56DEA" w:rsidRPr="002F4565">
        <w:rPr>
          <w:lang w:val="pt-BR"/>
        </w:rPr>
        <w:t>são alvo dest</w:t>
      </w:r>
      <w:r w:rsidR="00703835" w:rsidRPr="002F4565">
        <w:rPr>
          <w:lang w:val="pt-BR"/>
        </w:rPr>
        <w:t>a</w:t>
      </w:r>
      <w:r w:rsidR="00F56DEA" w:rsidRPr="002F4565">
        <w:rPr>
          <w:lang w:val="pt-BR"/>
        </w:rPr>
        <w:t xml:space="preserve"> </w:t>
      </w:r>
      <w:r w:rsidR="00BC3868" w:rsidRPr="002F4565">
        <w:rPr>
          <w:lang w:val="pt-BR"/>
        </w:rPr>
        <w:t>publicidade</w:t>
      </w:r>
      <w:r w:rsidR="00F56DEA" w:rsidRPr="002F4565">
        <w:rPr>
          <w:lang w:val="pt-BR"/>
        </w:rPr>
        <w:t xml:space="preserve"> </w:t>
      </w:r>
      <w:proofErr w:type="gramStart"/>
      <w:r w:rsidR="00F56DEA" w:rsidRPr="002F4565">
        <w:rPr>
          <w:lang w:val="pt-BR"/>
        </w:rPr>
        <w:t>agressiv</w:t>
      </w:r>
      <w:r w:rsidR="00703835" w:rsidRPr="002F4565">
        <w:rPr>
          <w:lang w:val="pt-BR"/>
        </w:rPr>
        <w:t>a</w:t>
      </w:r>
      <w:r w:rsidRPr="002F4565">
        <w:rPr>
          <w:lang w:val="pt-BR"/>
        </w:rPr>
        <w:t>.</w:t>
      </w:r>
      <w:proofErr w:type="gramEnd"/>
      <w:r w:rsidRPr="002F4565">
        <w:rPr>
          <w:vertAlign w:val="superscript"/>
          <w:lang w:val="pt-BR"/>
        </w:rPr>
        <w:t>55</w:t>
      </w:r>
      <w:r w:rsidRPr="002F4565">
        <w:rPr>
          <w:lang w:val="pt-BR"/>
        </w:rPr>
        <w:t xml:space="preserve"> </w:t>
      </w:r>
      <w:r w:rsidR="001730DC" w:rsidRPr="002F4565">
        <w:rPr>
          <w:lang w:val="pt-BR"/>
        </w:rPr>
        <w:t xml:space="preserve">Isto é feito para </w:t>
      </w:r>
      <w:r w:rsidR="007D4857" w:rsidRPr="002F4565">
        <w:rPr>
          <w:lang w:val="pt-BR"/>
        </w:rPr>
        <w:t>incentivar</w:t>
      </w:r>
      <w:r w:rsidRPr="002F4565">
        <w:rPr>
          <w:lang w:val="pt-BR"/>
        </w:rPr>
        <w:t xml:space="preserve"> </w:t>
      </w:r>
      <w:r w:rsidR="001730DC" w:rsidRPr="002F4565">
        <w:rPr>
          <w:lang w:val="pt-BR"/>
        </w:rPr>
        <w:t xml:space="preserve">os pais a comprar </w:t>
      </w:r>
      <w:r w:rsidR="00261A8A" w:rsidRPr="002F4565">
        <w:rPr>
          <w:lang w:val="pt-BR"/>
        </w:rPr>
        <w:t>alimentos pouco saudáveis</w:t>
      </w:r>
      <w:r w:rsidRPr="002F4565">
        <w:rPr>
          <w:lang w:val="pt-BR"/>
        </w:rPr>
        <w:t xml:space="preserve"> </w:t>
      </w:r>
      <w:r w:rsidR="001730DC" w:rsidRPr="002F4565">
        <w:rPr>
          <w:lang w:val="pt-BR"/>
        </w:rPr>
        <w:t>para os filhos</w:t>
      </w:r>
      <w:r w:rsidRPr="002F4565">
        <w:rPr>
          <w:lang w:val="pt-BR"/>
        </w:rPr>
        <w:t xml:space="preserve">. </w:t>
      </w:r>
      <w:r w:rsidR="001730DC" w:rsidRPr="002F4565">
        <w:rPr>
          <w:lang w:val="pt-BR"/>
        </w:rPr>
        <w:t>Em muitos casos</w:t>
      </w:r>
      <w:r w:rsidRPr="002F4565">
        <w:rPr>
          <w:lang w:val="pt-BR"/>
        </w:rPr>
        <w:t xml:space="preserve">, </w:t>
      </w:r>
      <w:r w:rsidR="00BC3868" w:rsidRPr="002F4565">
        <w:rPr>
          <w:lang w:val="pt-BR"/>
        </w:rPr>
        <w:t>a publicidade</w:t>
      </w:r>
      <w:r w:rsidRPr="002F4565">
        <w:rPr>
          <w:lang w:val="pt-BR"/>
        </w:rPr>
        <w:t xml:space="preserve"> </w:t>
      </w:r>
      <w:r w:rsidR="001730DC" w:rsidRPr="002F4565">
        <w:rPr>
          <w:lang w:val="pt-BR"/>
        </w:rPr>
        <w:t xml:space="preserve">da indústria de alimentos para </w:t>
      </w:r>
      <w:r w:rsidR="00802E44" w:rsidRPr="002F4565">
        <w:rPr>
          <w:lang w:val="pt-BR"/>
        </w:rPr>
        <w:t>crianças</w:t>
      </w:r>
      <w:r w:rsidRPr="002F4565">
        <w:rPr>
          <w:lang w:val="pt-BR"/>
        </w:rPr>
        <w:t xml:space="preserve"> </w:t>
      </w:r>
      <w:r w:rsidR="0049090C" w:rsidRPr="002F4565">
        <w:rPr>
          <w:lang w:val="pt-BR"/>
        </w:rPr>
        <w:t>e</w:t>
      </w:r>
      <w:r w:rsidRPr="002F4565">
        <w:rPr>
          <w:lang w:val="pt-BR"/>
        </w:rPr>
        <w:t xml:space="preserve"> </w:t>
      </w:r>
      <w:r w:rsidR="001730DC" w:rsidRPr="002F4565">
        <w:rPr>
          <w:lang w:val="pt-BR"/>
        </w:rPr>
        <w:t xml:space="preserve">seus pais </w:t>
      </w:r>
      <w:r w:rsidR="000E48EB" w:rsidRPr="002F4565">
        <w:rPr>
          <w:lang w:val="pt-BR"/>
        </w:rPr>
        <w:t>pode</w:t>
      </w:r>
      <w:r w:rsidRPr="002F4565">
        <w:rPr>
          <w:lang w:val="pt-BR"/>
        </w:rPr>
        <w:t xml:space="preserve"> </w:t>
      </w:r>
      <w:r w:rsidR="001730DC" w:rsidRPr="002F4565">
        <w:rPr>
          <w:lang w:val="pt-BR"/>
        </w:rPr>
        <w:t>ser</w:t>
      </w:r>
      <w:r w:rsidRPr="002F4565">
        <w:rPr>
          <w:lang w:val="pt-BR"/>
        </w:rPr>
        <w:t xml:space="preserve"> d</w:t>
      </w:r>
      <w:r w:rsidR="001730DC" w:rsidRPr="002F4565">
        <w:rPr>
          <w:lang w:val="pt-BR"/>
        </w:rPr>
        <w:t>e</w:t>
      </w:r>
      <w:r w:rsidRPr="002F4565">
        <w:rPr>
          <w:lang w:val="pt-BR"/>
        </w:rPr>
        <w:t>spropor</w:t>
      </w:r>
      <w:r w:rsidR="001730DC" w:rsidRPr="002F4565">
        <w:rPr>
          <w:lang w:val="pt-BR"/>
        </w:rPr>
        <w:t>cionalmente destinad</w:t>
      </w:r>
      <w:r w:rsidR="00703835" w:rsidRPr="002F4565">
        <w:rPr>
          <w:lang w:val="pt-BR"/>
        </w:rPr>
        <w:t>a</w:t>
      </w:r>
      <w:r w:rsidR="001730DC" w:rsidRPr="002F4565">
        <w:rPr>
          <w:lang w:val="pt-BR"/>
        </w:rPr>
        <w:t xml:space="preserve"> a grupos particulares </w:t>
      </w:r>
      <w:r w:rsidRPr="002F4565">
        <w:rPr>
          <w:lang w:val="pt-BR"/>
        </w:rPr>
        <w:t>racia</w:t>
      </w:r>
      <w:r w:rsidR="001730DC" w:rsidRPr="002F4565">
        <w:rPr>
          <w:lang w:val="pt-BR"/>
        </w:rPr>
        <w:t>is</w:t>
      </w:r>
      <w:r w:rsidRPr="002F4565">
        <w:rPr>
          <w:lang w:val="pt-BR"/>
        </w:rPr>
        <w:t xml:space="preserve">, </w:t>
      </w:r>
      <w:r w:rsidR="001730DC" w:rsidRPr="002F4565">
        <w:rPr>
          <w:lang w:val="pt-BR"/>
        </w:rPr>
        <w:t xml:space="preserve">étnicos </w:t>
      </w:r>
      <w:r w:rsidR="003F41C2" w:rsidRPr="002F4565">
        <w:rPr>
          <w:lang w:val="pt-BR"/>
        </w:rPr>
        <w:t>ou</w:t>
      </w:r>
      <w:r w:rsidRPr="002F4565">
        <w:rPr>
          <w:lang w:val="pt-BR"/>
        </w:rPr>
        <w:t xml:space="preserve"> socio</w:t>
      </w:r>
      <w:r w:rsidR="005A25F5" w:rsidRPr="002F4565">
        <w:rPr>
          <w:lang w:val="pt-BR"/>
        </w:rPr>
        <w:t>econômicos</w:t>
      </w:r>
      <w:r w:rsidRPr="002F4565">
        <w:rPr>
          <w:lang w:val="pt-BR"/>
        </w:rPr>
        <w:t>, exacerba</w:t>
      </w:r>
      <w:r w:rsidR="001730DC" w:rsidRPr="002F4565">
        <w:rPr>
          <w:lang w:val="pt-BR"/>
        </w:rPr>
        <w:t xml:space="preserve">ndo as desigualdades de </w:t>
      </w:r>
      <w:r w:rsidR="0049090C" w:rsidRPr="002F4565">
        <w:rPr>
          <w:lang w:val="pt-BR"/>
        </w:rPr>
        <w:t>saúde</w:t>
      </w:r>
      <w:r w:rsidRPr="002F4565">
        <w:rPr>
          <w:lang w:val="pt-BR"/>
        </w:rPr>
        <w:t xml:space="preserve"> </w:t>
      </w:r>
      <w:r w:rsidR="001730DC" w:rsidRPr="002F4565">
        <w:rPr>
          <w:lang w:val="pt-BR"/>
        </w:rPr>
        <w:t xml:space="preserve">enfrentadas por estes </w:t>
      </w:r>
      <w:proofErr w:type="gramStart"/>
      <w:r w:rsidR="00802E44" w:rsidRPr="002F4565">
        <w:rPr>
          <w:lang w:val="pt-BR"/>
        </w:rPr>
        <w:t>grupos</w:t>
      </w:r>
      <w:r w:rsidRPr="002F4565">
        <w:rPr>
          <w:lang w:val="pt-BR"/>
        </w:rPr>
        <w:t>.</w:t>
      </w:r>
      <w:proofErr w:type="gramEnd"/>
      <w:r w:rsidRPr="002F4565">
        <w:rPr>
          <w:vertAlign w:val="superscript"/>
          <w:lang w:val="pt-BR"/>
        </w:rPr>
        <w:t>56</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37. </w:t>
      </w:r>
      <w:r w:rsidR="001730DC" w:rsidRPr="002F4565">
        <w:rPr>
          <w:lang w:val="pt-BR"/>
        </w:rPr>
        <w:t>As c</w:t>
      </w:r>
      <w:r w:rsidR="00802E44" w:rsidRPr="002F4565">
        <w:rPr>
          <w:lang w:val="pt-BR"/>
        </w:rPr>
        <w:t>rianças</w:t>
      </w:r>
      <w:r w:rsidRPr="002F4565">
        <w:rPr>
          <w:lang w:val="pt-BR"/>
        </w:rPr>
        <w:t xml:space="preserve"> </w:t>
      </w:r>
      <w:r w:rsidR="00F21F55" w:rsidRPr="002F4565">
        <w:rPr>
          <w:lang w:val="pt-BR"/>
        </w:rPr>
        <w:t>também</w:t>
      </w:r>
      <w:r w:rsidRPr="002F4565">
        <w:rPr>
          <w:lang w:val="pt-BR"/>
        </w:rPr>
        <w:t xml:space="preserve"> </w:t>
      </w:r>
      <w:r w:rsidR="001730DC" w:rsidRPr="002F4565">
        <w:rPr>
          <w:lang w:val="pt-BR"/>
        </w:rPr>
        <w:t xml:space="preserve">são </w:t>
      </w:r>
      <w:r w:rsidR="00703835" w:rsidRPr="002F4565">
        <w:rPr>
          <w:lang w:val="pt-BR"/>
        </w:rPr>
        <w:t xml:space="preserve">muito </w:t>
      </w:r>
      <w:r w:rsidR="001730DC" w:rsidRPr="002F4565">
        <w:rPr>
          <w:lang w:val="pt-BR"/>
        </w:rPr>
        <w:t>expostas a comidas não saudáveis</w:t>
      </w:r>
      <w:r w:rsidR="00703835" w:rsidRPr="002F4565">
        <w:rPr>
          <w:lang w:val="pt-BR"/>
        </w:rPr>
        <w:t>,</w:t>
      </w:r>
      <w:r w:rsidR="001730DC" w:rsidRPr="002F4565">
        <w:rPr>
          <w:lang w:val="pt-BR"/>
        </w:rPr>
        <w:t xml:space="preserve"> tanto em ambientes </w:t>
      </w:r>
      <w:r w:rsidR="003C09F9" w:rsidRPr="002F4565">
        <w:rPr>
          <w:lang w:val="pt-BR"/>
        </w:rPr>
        <w:t>públic</w:t>
      </w:r>
      <w:r w:rsidR="001730DC" w:rsidRPr="002F4565">
        <w:rPr>
          <w:lang w:val="pt-BR"/>
        </w:rPr>
        <w:t>os como privados</w:t>
      </w:r>
      <w:r w:rsidRPr="002F4565">
        <w:rPr>
          <w:lang w:val="pt-BR"/>
        </w:rPr>
        <w:t xml:space="preserve">. </w:t>
      </w:r>
      <w:r w:rsidR="001730DC" w:rsidRPr="002F4565">
        <w:rPr>
          <w:lang w:val="pt-BR"/>
        </w:rPr>
        <w:t xml:space="preserve">Os alimentos servidos ou vendidos </w:t>
      </w:r>
      <w:r w:rsidR="00FB4DE4" w:rsidRPr="002F4565">
        <w:rPr>
          <w:lang w:val="pt-BR"/>
        </w:rPr>
        <w:t>em</w:t>
      </w:r>
      <w:r w:rsidRPr="002F4565">
        <w:rPr>
          <w:lang w:val="pt-BR"/>
        </w:rPr>
        <w:t xml:space="preserve"> </w:t>
      </w:r>
      <w:r w:rsidR="001730DC" w:rsidRPr="002F4565">
        <w:rPr>
          <w:lang w:val="pt-BR"/>
        </w:rPr>
        <w:t xml:space="preserve">ambientes </w:t>
      </w:r>
      <w:r w:rsidRPr="002F4565">
        <w:rPr>
          <w:lang w:val="pt-BR"/>
        </w:rPr>
        <w:t>institu</w:t>
      </w:r>
      <w:r w:rsidR="001730DC" w:rsidRPr="002F4565">
        <w:rPr>
          <w:lang w:val="pt-BR"/>
        </w:rPr>
        <w:t xml:space="preserve">cionais como </w:t>
      </w:r>
      <w:r w:rsidRPr="002F4565">
        <w:rPr>
          <w:lang w:val="pt-BR"/>
        </w:rPr>
        <w:t xml:space="preserve">as </w:t>
      </w:r>
      <w:r w:rsidR="00072E1E" w:rsidRPr="002F4565">
        <w:rPr>
          <w:lang w:val="pt-BR"/>
        </w:rPr>
        <w:t>escola</w:t>
      </w:r>
      <w:r w:rsidRPr="002F4565">
        <w:rPr>
          <w:lang w:val="pt-BR"/>
        </w:rPr>
        <w:t xml:space="preserve">s </w:t>
      </w:r>
      <w:r w:rsidR="000E48EB" w:rsidRPr="002F4565">
        <w:rPr>
          <w:lang w:val="pt-BR"/>
        </w:rPr>
        <w:t>podem</w:t>
      </w:r>
      <w:r w:rsidRPr="002F4565">
        <w:rPr>
          <w:lang w:val="pt-BR"/>
        </w:rPr>
        <w:t xml:space="preserve"> </w:t>
      </w:r>
      <w:r w:rsidR="001730DC" w:rsidRPr="002F4565">
        <w:rPr>
          <w:lang w:val="pt-BR"/>
        </w:rPr>
        <w:t>ser</w:t>
      </w:r>
      <w:r w:rsidRPr="002F4565">
        <w:rPr>
          <w:lang w:val="pt-BR"/>
        </w:rPr>
        <w:t xml:space="preserve"> </w:t>
      </w:r>
      <w:r w:rsidR="001730DC" w:rsidRPr="002F4565">
        <w:rPr>
          <w:lang w:val="pt-BR"/>
        </w:rPr>
        <w:t xml:space="preserve">desproporcionalmente comparados com </w:t>
      </w:r>
      <w:r w:rsidR="00261A8A" w:rsidRPr="002F4565">
        <w:rPr>
          <w:lang w:val="pt-BR"/>
        </w:rPr>
        <w:t>alimentos</w:t>
      </w:r>
      <w:r w:rsidRPr="002F4565">
        <w:rPr>
          <w:lang w:val="pt-BR"/>
        </w:rPr>
        <w:t xml:space="preserve"> </w:t>
      </w:r>
      <w:r w:rsidR="001730DC" w:rsidRPr="002F4565">
        <w:rPr>
          <w:lang w:val="pt-BR"/>
        </w:rPr>
        <w:t xml:space="preserve">não saudáveis </w:t>
      </w:r>
      <w:r w:rsidR="003F41C2" w:rsidRPr="002F4565">
        <w:rPr>
          <w:lang w:val="pt-BR"/>
        </w:rPr>
        <w:t>ou</w:t>
      </w:r>
      <w:r w:rsidRPr="002F4565">
        <w:rPr>
          <w:lang w:val="pt-BR"/>
        </w:rPr>
        <w:t xml:space="preserve"> </w:t>
      </w:r>
      <w:r w:rsidR="003F41C2" w:rsidRPr="002F4565">
        <w:rPr>
          <w:lang w:val="pt-BR"/>
        </w:rPr>
        <w:t>outros</w:t>
      </w:r>
      <w:r w:rsidRPr="002F4565">
        <w:rPr>
          <w:lang w:val="pt-BR"/>
        </w:rPr>
        <w:t xml:space="preserve"> </w:t>
      </w:r>
      <w:r w:rsidR="00261A8A" w:rsidRPr="002F4565">
        <w:rPr>
          <w:lang w:val="pt-BR"/>
        </w:rPr>
        <w:t>alimentos</w:t>
      </w:r>
      <w:r w:rsidRPr="002F4565">
        <w:rPr>
          <w:lang w:val="pt-BR"/>
        </w:rPr>
        <w:t xml:space="preserve"> </w:t>
      </w:r>
      <w:r w:rsidR="001730DC" w:rsidRPr="002F4565">
        <w:rPr>
          <w:lang w:val="pt-BR"/>
        </w:rPr>
        <w:t xml:space="preserve">de </w:t>
      </w:r>
      <w:r w:rsidR="0040430A" w:rsidRPr="002F4565">
        <w:rPr>
          <w:lang w:val="pt-BR"/>
        </w:rPr>
        <w:t>valor</w:t>
      </w:r>
      <w:r w:rsidR="001730DC" w:rsidRPr="002F4565">
        <w:rPr>
          <w:lang w:val="pt-BR"/>
        </w:rPr>
        <w:t xml:space="preserve"> de nutricional limitado</w:t>
      </w:r>
      <w:r w:rsidRPr="002F4565">
        <w:rPr>
          <w:lang w:val="pt-BR"/>
        </w:rPr>
        <w:t>, parti</w:t>
      </w:r>
      <w:r w:rsidR="00FB4DE4" w:rsidRPr="002F4565">
        <w:rPr>
          <w:lang w:val="pt-BR"/>
        </w:rPr>
        <w:t>cularmente</w:t>
      </w:r>
      <w:r w:rsidRPr="002F4565">
        <w:rPr>
          <w:lang w:val="pt-BR"/>
        </w:rPr>
        <w:t xml:space="preserve"> </w:t>
      </w:r>
      <w:r w:rsidR="00FB4DE4" w:rsidRPr="002F4565">
        <w:rPr>
          <w:lang w:val="pt-BR"/>
        </w:rPr>
        <w:t>em</w:t>
      </w:r>
      <w:r w:rsidRPr="002F4565">
        <w:rPr>
          <w:lang w:val="pt-BR"/>
        </w:rPr>
        <w:t xml:space="preserve"> </w:t>
      </w:r>
      <w:r w:rsidR="00B5729E" w:rsidRPr="002F4565">
        <w:rPr>
          <w:lang w:val="pt-BR"/>
        </w:rPr>
        <w:t>programas</w:t>
      </w:r>
      <w:r w:rsidR="001730DC" w:rsidRPr="002F4565">
        <w:rPr>
          <w:lang w:val="pt-BR"/>
        </w:rPr>
        <w:t xml:space="preserve"> de almoço </w:t>
      </w:r>
      <w:r w:rsidR="00703835" w:rsidRPr="002F4565">
        <w:rPr>
          <w:lang w:val="pt-BR"/>
        </w:rPr>
        <w:t xml:space="preserve">(merenda) </w:t>
      </w:r>
      <w:r w:rsidR="001730DC" w:rsidRPr="002F4565">
        <w:rPr>
          <w:lang w:val="pt-BR"/>
        </w:rPr>
        <w:t>nas escolas</w:t>
      </w:r>
      <w:r w:rsidRPr="002F4565">
        <w:rPr>
          <w:lang w:val="pt-BR"/>
        </w:rPr>
        <w:t xml:space="preserve">, </w:t>
      </w:r>
      <w:r w:rsidR="001730DC" w:rsidRPr="002F4565">
        <w:rPr>
          <w:lang w:val="pt-BR"/>
        </w:rPr>
        <w:t xml:space="preserve">em que os recursos financeiros para </w:t>
      </w:r>
      <w:r w:rsidR="00182B8E" w:rsidRPr="002F4565">
        <w:rPr>
          <w:lang w:val="pt-BR"/>
        </w:rPr>
        <w:t>alimentos mais saudáveis</w:t>
      </w:r>
      <w:r w:rsidRPr="002F4565">
        <w:rPr>
          <w:lang w:val="pt-BR"/>
        </w:rPr>
        <w:t xml:space="preserve"> </w:t>
      </w:r>
      <w:r w:rsidR="000E48EB" w:rsidRPr="002F4565">
        <w:rPr>
          <w:lang w:val="pt-BR"/>
        </w:rPr>
        <w:t>podem</w:t>
      </w:r>
      <w:r w:rsidRPr="002F4565">
        <w:rPr>
          <w:lang w:val="pt-BR"/>
        </w:rPr>
        <w:t xml:space="preserve"> </w:t>
      </w:r>
      <w:r w:rsidR="001730DC" w:rsidRPr="002F4565">
        <w:rPr>
          <w:lang w:val="pt-BR"/>
        </w:rPr>
        <w:t>ser</w:t>
      </w:r>
      <w:r w:rsidRPr="002F4565">
        <w:rPr>
          <w:lang w:val="pt-BR"/>
        </w:rPr>
        <w:t xml:space="preserve"> </w:t>
      </w:r>
      <w:proofErr w:type="gramStart"/>
      <w:r w:rsidRPr="002F4565">
        <w:rPr>
          <w:lang w:val="pt-BR"/>
        </w:rPr>
        <w:t>limit</w:t>
      </w:r>
      <w:r w:rsidR="001730DC" w:rsidRPr="002F4565">
        <w:rPr>
          <w:lang w:val="pt-BR"/>
        </w:rPr>
        <w:t>ados</w:t>
      </w:r>
      <w:r w:rsidRPr="002F4565">
        <w:rPr>
          <w:lang w:val="pt-BR"/>
        </w:rPr>
        <w:t>.</w:t>
      </w:r>
      <w:proofErr w:type="gramEnd"/>
      <w:r w:rsidRPr="002F4565">
        <w:rPr>
          <w:vertAlign w:val="superscript"/>
          <w:lang w:val="pt-BR"/>
        </w:rPr>
        <w:t>57</w:t>
      </w:r>
      <w:r w:rsidRPr="002F4565">
        <w:rPr>
          <w:lang w:val="pt-BR"/>
        </w:rPr>
        <w:t xml:space="preserve"> </w:t>
      </w:r>
    </w:p>
    <w:p w:rsidR="00115B91" w:rsidRPr="002F4565" w:rsidRDefault="001730DC" w:rsidP="0051636A">
      <w:pPr>
        <w:spacing w:before="120" w:after="0" w:line="240" w:lineRule="auto"/>
        <w:rPr>
          <w:lang w:val="pt-BR"/>
        </w:rPr>
      </w:pPr>
      <w:r w:rsidRPr="002F4565">
        <w:rPr>
          <w:lang w:val="pt-BR"/>
        </w:rPr>
        <w:t xml:space="preserve">Outros locais que atendem às </w:t>
      </w:r>
      <w:r w:rsidR="00802E44" w:rsidRPr="002F4565">
        <w:rPr>
          <w:lang w:val="pt-BR"/>
        </w:rPr>
        <w:t>crianças</w:t>
      </w:r>
      <w:r w:rsidR="00115B91" w:rsidRPr="002F4565">
        <w:rPr>
          <w:lang w:val="pt-BR"/>
        </w:rPr>
        <w:t xml:space="preserve"> </w:t>
      </w:r>
      <w:r w:rsidR="0049090C" w:rsidRPr="002F4565">
        <w:rPr>
          <w:lang w:val="pt-BR"/>
        </w:rPr>
        <w:t>e</w:t>
      </w:r>
      <w:r w:rsidR="00115B91" w:rsidRPr="002F4565">
        <w:rPr>
          <w:lang w:val="pt-BR"/>
        </w:rPr>
        <w:t xml:space="preserve"> </w:t>
      </w:r>
      <w:r w:rsidRPr="002F4565">
        <w:rPr>
          <w:lang w:val="pt-BR"/>
        </w:rPr>
        <w:t>jovens</w:t>
      </w:r>
      <w:r w:rsidR="00115B91" w:rsidRPr="002F4565">
        <w:rPr>
          <w:lang w:val="pt-BR"/>
        </w:rPr>
        <w:t xml:space="preserve">, </w:t>
      </w:r>
      <w:r w:rsidRPr="002F4565">
        <w:rPr>
          <w:lang w:val="pt-BR"/>
        </w:rPr>
        <w:t>como os centros esportivos</w:t>
      </w:r>
      <w:r w:rsidR="00115B91" w:rsidRPr="002F4565">
        <w:rPr>
          <w:lang w:val="pt-BR"/>
        </w:rPr>
        <w:t xml:space="preserve">, </w:t>
      </w:r>
      <w:r w:rsidR="000E48EB" w:rsidRPr="002F4565">
        <w:rPr>
          <w:lang w:val="pt-BR"/>
        </w:rPr>
        <w:t>podem</w:t>
      </w:r>
      <w:r w:rsidR="00115B91" w:rsidRPr="002F4565">
        <w:rPr>
          <w:lang w:val="pt-BR"/>
        </w:rPr>
        <w:t xml:space="preserve"> </w:t>
      </w:r>
      <w:r w:rsidR="00F21F55" w:rsidRPr="002F4565">
        <w:rPr>
          <w:lang w:val="pt-BR"/>
        </w:rPr>
        <w:t>também</w:t>
      </w:r>
      <w:r w:rsidR="00115B91" w:rsidRPr="002F4565">
        <w:rPr>
          <w:lang w:val="pt-BR"/>
        </w:rPr>
        <w:t xml:space="preserve"> </w:t>
      </w:r>
      <w:r w:rsidRPr="002F4565">
        <w:rPr>
          <w:lang w:val="pt-BR"/>
        </w:rPr>
        <w:t xml:space="preserve">carecer de </w:t>
      </w:r>
      <w:r w:rsidR="00F21F55" w:rsidRPr="002F4565">
        <w:rPr>
          <w:lang w:val="pt-BR"/>
        </w:rPr>
        <w:t>opções</w:t>
      </w:r>
      <w:r w:rsidRPr="002F4565">
        <w:rPr>
          <w:lang w:val="pt-BR"/>
        </w:rPr>
        <w:t xml:space="preserve"> de alimentos saudáveis</w:t>
      </w:r>
      <w:r w:rsidR="00115B91" w:rsidRPr="002F4565">
        <w:rPr>
          <w:lang w:val="pt-BR"/>
        </w:rPr>
        <w:t xml:space="preserve">. </w:t>
      </w:r>
      <w:r w:rsidRPr="002F4565">
        <w:rPr>
          <w:lang w:val="pt-BR"/>
        </w:rPr>
        <w:t>No setor privado</w:t>
      </w:r>
      <w:r w:rsidR="00115B91" w:rsidRPr="002F4565">
        <w:rPr>
          <w:lang w:val="pt-BR"/>
        </w:rPr>
        <w:t xml:space="preserve">, </w:t>
      </w:r>
      <w:r w:rsidRPr="002F4565">
        <w:rPr>
          <w:lang w:val="pt-BR"/>
        </w:rPr>
        <w:t>as refeições</w:t>
      </w:r>
      <w:r w:rsidR="00115B91" w:rsidRPr="002F4565">
        <w:rPr>
          <w:lang w:val="pt-BR"/>
        </w:rPr>
        <w:t xml:space="preserve"> </w:t>
      </w:r>
      <w:r w:rsidRPr="002F4565">
        <w:rPr>
          <w:lang w:val="pt-BR"/>
        </w:rPr>
        <w:t xml:space="preserve">destinadas a </w:t>
      </w:r>
      <w:r w:rsidR="00802E44" w:rsidRPr="002F4565">
        <w:rPr>
          <w:lang w:val="pt-BR"/>
        </w:rPr>
        <w:t>crianças</w:t>
      </w:r>
      <w:r w:rsidR="00115B91" w:rsidRPr="002F4565">
        <w:rPr>
          <w:lang w:val="pt-BR"/>
        </w:rPr>
        <w:t xml:space="preserve"> </w:t>
      </w:r>
      <w:r w:rsidR="0040430A" w:rsidRPr="002F4565">
        <w:rPr>
          <w:lang w:val="pt-BR"/>
        </w:rPr>
        <w:t>são</w:t>
      </w:r>
      <w:r w:rsidR="00115B91" w:rsidRPr="002F4565">
        <w:rPr>
          <w:lang w:val="pt-BR"/>
        </w:rPr>
        <w:t xml:space="preserve"> </w:t>
      </w:r>
      <w:r w:rsidRPr="002F4565">
        <w:rPr>
          <w:lang w:val="pt-BR"/>
        </w:rPr>
        <w:t>muitas vezes ricas em gordura</w:t>
      </w:r>
      <w:r w:rsidR="00115B91" w:rsidRPr="002F4565">
        <w:rPr>
          <w:lang w:val="pt-BR"/>
        </w:rPr>
        <w:t xml:space="preserve">, </w:t>
      </w:r>
      <w:r w:rsidR="0040430A" w:rsidRPr="002F4565">
        <w:rPr>
          <w:lang w:val="pt-BR"/>
        </w:rPr>
        <w:t>açúcar</w:t>
      </w:r>
      <w:r w:rsidR="00115B91" w:rsidRPr="002F4565">
        <w:rPr>
          <w:lang w:val="pt-BR"/>
        </w:rPr>
        <w:t xml:space="preserve"> </w:t>
      </w:r>
      <w:r w:rsidR="0049090C" w:rsidRPr="002F4565">
        <w:rPr>
          <w:lang w:val="pt-BR"/>
        </w:rPr>
        <w:t>e</w:t>
      </w:r>
      <w:r w:rsidR="00115B91" w:rsidRPr="002F4565">
        <w:rPr>
          <w:lang w:val="pt-BR"/>
        </w:rPr>
        <w:t xml:space="preserve"> sal </w:t>
      </w:r>
      <w:r w:rsidR="0049090C" w:rsidRPr="002F4565">
        <w:rPr>
          <w:lang w:val="pt-BR"/>
        </w:rPr>
        <w:t>e</w:t>
      </w:r>
      <w:r w:rsidR="00115B91" w:rsidRPr="002F4565">
        <w:rPr>
          <w:lang w:val="pt-BR"/>
        </w:rPr>
        <w:t xml:space="preserve"> </w:t>
      </w:r>
      <w:r w:rsidRPr="002F4565">
        <w:rPr>
          <w:lang w:val="pt-BR"/>
        </w:rPr>
        <w:t xml:space="preserve">deixam de atender às necessidades </w:t>
      </w:r>
      <w:r w:rsidR="0040430A" w:rsidRPr="002F4565">
        <w:rPr>
          <w:lang w:val="pt-BR"/>
        </w:rPr>
        <w:t>nutriciona</w:t>
      </w:r>
      <w:r w:rsidRPr="002F4565">
        <w:rPr>
          <w:lang w:val="pt-BR"/>
        </w:rPr>
        <w:t>is das crianças</w:t>
      </w:r>
      <w:r w:rsidR="00115B91" w:rsidRPr="002F4565">
        <w:rPr>
          <w:lang w:val="pt-BR"/>
        </w:rPr>
        <w:t>, espe</w:t>
      </w:r>
      <w:r w:rsidR="000E48EB" w:rsidRPr="002F4565">
        <w:rPr>
          <w:lang w:val="pt-BR"/>
        </w:rPr>
        <w:t>cialmente</w:t>
      </w:r>
      <w:r w:rsidR="00115B91" w:rsidRPr="002F4565">
        <w:rPr>
          <w:lang w:val="pt-BR"/>
        </w:rPr>
        <w:t xml:space="preserve"> </w:t>
      </w:r>
      <w:r w:rsidRPr="002F4565">
        <w:rPr>
          <w:lang w:val="pt-BR"/>
        </w:rPr>
        <w:t xml:space="preserve">em estabelecimentos de </w:t>
      </w:r>
      <w:r w:rsidR="007D3BE3" w:rsidRPr="002F4565">
        <w:rPr>
          <w:i/>
          <w:lang w:val="pt-BR"/>
        </w:rPr>
        <w:t>fast food</w:t>
      </w:r>
      <w:r w:rsidR="00115B91" w:rsidRPr="002F4565">
        <w:rPr>
          <w:lang w:val="pt-BR"/>
        </w:rPr>
        <w:t xml:space="preserve">. </w:t>
      </w:r>
      <w:r w:rsidR="00703835" w:rsidRPr="002F4565">
        <w:rPr>
          <w:lang w:val="pt-BR"/>
        </w:rPr>
        <w:t>E</w:t>
      </w:r>
      <w:r w:rsidRPr="002F4565">
        <w:rPr>
          <w:lang w:val="pt-BR"/>
        </w:rPr>
        <w:t>st</w:t>
      </w:r>
      <w:r w:rsidR="00703835" w:rsidRPr="002F4565">
        <w:rPr>
          <w:lang w:val="pt-BR"/>
        </w:rPr>
        <w:t>e</w:t>
      </w:r>
      <w:r w:rsidRPr="002F4565">
        <w:rPr>
          <w:lang w:val="pt-BR"/>
        </w:rPr>
        <w:t xml:space="preserve"> pode ser o caso mesmo em termos de </w:t>
      </w:r>
      <w:r w:rsidR="00261A8A" w:rsidRPr="002F4565">
        <w:rPr>
          <w:lang w:val="pt-BR"/>
        </w:rPr>
        <w:t>alimentos</w:t>
      </w:r>
      <w:r w:rsidR="00115B91" w:rsidRPr="002F4565">
        <w:rPr>
          <w:lang w:val="pt-BR"/>
        </w:rPr>
        <w:t xml:space="preserve"> </w:t>
      </w:r>
      <w:r w:rsidRPr="002F4565">
        <w:rPr>
          <w:lang w:val="pt-BR"/>
        </w:rPr>
        <w:t>comercializados como refeições infantis “saudáveis”</w:t>
      </w:r>
      <w:r w:rsidR="00115B91" w:rsidRPr="002F4565">
        <w:rPr>
          <w:lang w:val="pt-BR"/>
        </w:rPr>
        <w:t xml:space="preserve">. </w:t>
      </w:r>
      <w:r w:rsidRPr="002F4565">
        <w:rPr>
          <w:lang w:val="pt-BR"/>
        </w:rPr>
        <w:t xml:space="preserve">Quando </w:t>
      </w:r>
      <w:r w:rsidR="00F21F55" w:rsidRPr="002F4565">
        <w:rPr>
          <w:lang w:val="pt-BR"/>
        </w:rPr>
        <w:t>opções</w:t>
      </w:r>
      <w:r w:rsidR="00115B91" w:rsidRPr="002F4565">
        <w:rPr>
          <w:lang w:val="pt-BR"/>
        </w:rPr>
        <w:t xml:space="preserve"> </w:t>
      </w:r>
      <w:r w:rsidRPr="002F4565">
        <w:rPr>
          <w:lang w:val="pt-BR"/>
        </w:rPr>
        <w:t>nutritivas est</w:t>
      </w:r>
      <w:r w:rsidR="0040430A" w:rsidRPr="002F4565">
        <w:rPr>
          <w:lang w:val="pt-BR"/>
        </w:rPr>
        <w:t>ão</w:t>
      </w:r>
      <w:r w:rsidR="00115B91" w:rsidRPr="002F4565">
        <w:rPr>
          <w:lang w:val="pt-BR"/>
        </w:rPr>
        <w:t xml:space="preserve"> </w:t>
      </w:r>
      <w:r w:rsidR="00703835" w:rsidRPr="002F4565">
        <w:rPr>
          <w:lang w:val="pt-BR"/>
        </w:rPr>
        <w:t xml:space="preserve">genuinamente </w:t>
      </w:r>
      <w:r w:rsidR="00B5729E" w:rsidRPr="002F4565">
        <w:rPr>
          <w:lang w:val="pt-BR"/>
        </w:rPr>
        <w:t>disponíveis</w:t>
      </w:r>
      <w:r w:rsidR="00115B91" w:rsidRPr="002F4565">
        <w:rPr>
          <w:lang w:val="pt-BR"/>
        </w:rPr>
        <w:t xml:space="preserve">, </w:t>
      </w:r>
      <w:r w:rsidRPr="002F4565">
        <w:rPr>
          <w:lang w:val="pt-BR"/>
        </w:rPr>
        <w:t xml:space="preserve">a opção padrão </w:t>
      </w:r>
      <w:r w:rsidR="000E48EB" w:rsidRPr="002F4565">
        <w:rPr>
          <w:lang w:val="pt-BR"/>
        </w:rPr>
        <w:t>pode</w:t>
      </w:r>
      <w:r w:rsidRPr="002F4565">
        <w:rPr>
          <w:lang w:val="pt-BR"/>
        </w:rPr>
        <w:t xml:space="preserve"> ainda ser aquela </w:t>
      </w:r>
      <w:r w:rsidR="006A31E1" w:rsidRPr="002F4565">
        <w:rPr>
          <w:lang w:val="pt-BR"/>
        </w:rPr>
        <w:t xml:space="preserve">não </w:t>
      </w:r>
      <w:proofErr w:type="gramStart"/>
      <w:r w:rsidR="006A31E1" w:rsidRPr="002F4565">
        <w:rPr>
          <w:lang w:val="pt-BR"/>
        </w:rPr>
        <w:t>saudáve</w:t>
      </w:r>
      <w:r w:rsidRPr="002F4565">
        <w:rPr>
          <w:lang w:val="pt-BR"/>
        </w:rPr>
        <w:t>l</w:t>
      </w:r>
      <w:r w:rsidR="00115B91" w:rsidRPr="002F4565">
        <w:rPr>
          <w:lang w:val="pt-BR"/>
        </w:rPr>
        <w:t>.</w:t>
      </w:r>
      <w:proofErr w:type="gramEnd"/>
      <w:r w:rsidR="00115B91" w:rsidRPr="002F4565">
        <w:rPr>
          <w:vertAlign w:val="superscript"/>
          <w:lang w:val="pt-BR"/>
        </w:rPr>
        <w:t>58</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38. </w:t>
      </w:r>
      <w:r w:rsidR="001730DC" w:rsidRPr="002F4565">
        <w:rPr>
          <w:lang w:val="pt-BR"/>
        </w:rPr>
        <w:t xml:space="preserve">É urgente que os </w:t>
      </w:r>
      <w:r w:rsidR="0049090C" w:rsidRPr="002F4565">
        <w:rPr>
          <w:lang w:val="pt-BR"/>
        </w:rPr>
        <w:t>Estados</w:t>
      </w:r>
      <w:r w:rsidRPr="002F4565">
        <w:rPr>
          <w:lang w:val="pt-BR"/>
        </w:rPr>
        <w:t xml:space="preserve"> </w:t>
      </w:r>
      <w:r w:rsidR="001730DC" w:rsidRPr="002F4565">
        <w:rPr>
          <w:lang w:val="pt-BR"/>
        </w:rPr>
        <w:t xml:space="preserve">cumpram suas </w:t>
      </w:r>
      <w:r w:rsidR="00F21F55" w:rsidRPr="002F4565">
        <w:rPr>
          <w:lang w:val="pt-BR"/>
        </w:rPr>
        <w:t>obrigações</w:t>
      </w:r>
      <w:r w:rsidRPr="002F4565">
        <w:rPr>
          <w:lang w:val="pt-BR"/>
        </w:rPr>
        <w:t xml:space="preserve"> </w:t>
      </w:r>
      <w:r w:rsidR="001730DC" w:rsidRPr="002F4565">
        <w:rPr>
          <w:lang w:val="pt-BR"/>
        </w:rPr>
        <w:t xml:space="preserve">referentes ao </w:t>
      </w:r>
      <w:r w:rsidR="00F21F55" w:rsidRPr="002F4565">
        <w:rPr>
          <w:lang w:val="pt-BR"/>
        </w:rPr>
        <w:t xml:space="preserve">direito </w:t>
      </w:r>
      <w:r w:rsidR="001730DC" w:rsidRPr="002F4565">
        <w:rPr>
          <w:lang w:val="pt-BR"/>
        </w:rPr>
        <w:t xml:space="preserve">das crianças </w:t>
      </w:r>
      <w:r w:rsidR="00F21F55" w:rsidRPr="002F4565">
        <w:rPr>
          <w:lang w:val="pt-BR"/>
        </w:rPr>
        <w:t>à saúde</w:t>
      </w:r>
      <w:r w:rsidRPr="002F4565">
        <w:rPr>
          <w:lang w:val="pt-BR"/>
        </w:rPr>
        <w:t xml:space="preserve">, </w:t>
      </w:r>
      <w:r w:rsidR="004A04EC" w:rsidRPr="002F4565">
        <w:rPr>
          <w:lang w:val="pt-BR"/>
        </w:rPr>
        <w:t xml:space="preserve">o que exige que os </w:t>
      </w:r>
      <w:r w:rsidR="0049090C" w:rsidRPr="002F4565">
        <w:rPr>
          <w:lang w:val="pt-BR"/>
        </w:rPr>
        <w:t>Estados</w:t>
      </w:r>
      <w:r w:rsidRPr="002F4565">
        <w:rPr>
          <w:lang w:val="pt-BR"/>
        </w:rPr>
        <w:t xml:space="preserve"> </w:t>
      </w:r>
      <w:r w:rsidR="004A04EC" w:rsidRPr="002F4565">
        <w:rPr>
          <w:lang w:val="pt-BR"/>
        </w:rPr>
        <w:t xml:space="preserve">se preocupem com a </w:t>
      </w:r>
      <w:r w:rsidR="0040430A" w:rsidRPr="002F4565">
        <w:rPr>
          <w:lang w:val="pt-BR"/>
        </w:rPr>
        <w:t>obesidade</w:t>
      </w:r>
      <w:r w:rsidRPr="002F4565">
        <w:rPr>
          <w:lang w:val="pt-BR"/>
        </w:rPr>
        <w:t xml:space="preserve"> </w:t>
      </w:r>
      <w:r w:rsidR="00703835" w:rsidRPr="002F4565">
        <w:rPr>
          <w:lang w:val="pt-BR"/>
        </w:rPr>
        <w:t>d</w:t>
      </w:r>
      <w:r w:rsidR="004A04EC" w:rsidRPr="002F4565">
        <w:rPr>
          <w:lang w:val="pt-BR"/>
        </w:rPr>
        <w:t xml:space="preserve">as </w:t>
      </w:r>
      <w:r w:rsidR="00802E44" w:rsidRPr="002F4565">
        <w:rPr>
          <w:lang w:val="pt-BR"/>
        </w:rPr>
        <w:t>crianças</w:t>
      </w:r>
      <w:r w:rsidRPr="002F4565">
        <w:rPr>
          <w:lang w:val="pt-BR"/>
        </w:rPr>
        <w:t>, limit</w:t>
      </w:r>
      <w:r w:rsidR="004A04EC" w:rsidRPr="002F4565">
        <w:rPr>
          <w:lang w:val="pt-BR"/>
        </w:rPr>
        <w:t>em</w:t>
      </w:r>
      <w:r w:rsidRPr="002F4565">
        <w:rPr>
          <w:lang w:val="pt-BR"/>
        </w:rPr>
        <w:t xml:space="preserve"> </w:t>
      </w:r>
      <w:r w:rsidR="004A04EC" w:rsidRPr="002F4565">
        <w:rPr>
          <w:lang w:val="pt-BR"/>
        </w:rPr>
        <w:t xml:space="preserve">a exposição das </w:t>
      </w:r>
      <w:r w:rsidR="00802E44" w:rsidRPr="002F4565">
        <w:rPr>
          <w:lang w:val="pt-BR"/>
        </w:rPr>
        <w:t>crianças</w:t>
      </w:r>
      <w:r w:rsidR="004A04EC" w:rsidRPr="002F4565">
        <w:rPr>
          <w:lang w:val="pt-BR"/>
        </w:rPr>
        <w:t xml:space="preserve"> a </w:t>
      </w:r>
      <w:r w:rsidR="007D3BE3" w:rsidRPr="002F4565">
        <w:rPr>
          <w:i/>
          <w:lang w:val="pt-BR"/>
        </w:rPr>
        <w:t>fast food</w:t>
      </w:r>
      <w:r w:rsidRPr="002F4565">
        <w:rPr>
          <w:lang w:val="pt-BR"/>
        </w:rPr>
        <w:t xml:space="preserve"> </w:t>
      </w:r>
      <w:r w:rsidR="0049090C" w:rsidRPr="002F4565">
        <w:rPr>
          <w:lang w:val="pt-BR"/>
        </w:rPr>
        <w:t>e</w:t>
      </w:r>
      <w:r w:rsidRPr="002F4565">
        <w:rPr>
          <w:lang w:val="pt-BR"/>
        </w:rPr>
        <w:t xml:space="preserve"> </w:t>
      </w:r>
      <w:r w:rsidR="007D4857" w:rsidRPr="002F4565">
        <w:rPr>
          <w:lang w:val="pt-BR"/>
        </w:rPr>
        <w:t>bebida</w:t>
      </w:r>
      <w:r w:rsidRPr="002F4565">
        <w:rPr>
          <w:lang w:val="pt-BR"/>
        </w:rPr>
        <w:t xml:space="preserve">s </w:t>
      </w:r>
      <w:r w:rsidR="004A04EC" w:rsidRPr="002F4565">
        <w:rPr>
          <w:lang w:val="pt-BR"/>
        </w:rPr>
        <w:t xml:space="preserve">com alto teor de </w:t>
      </w:r>
      <w:r w:rsidR="0040430A" w:rsidRPr="002F4565">
        <w:rPr>
          <w:lang w:val="pt-BR"/>
        </w:rPr>
        <w:t>açúcar</w:t>
      </w:r>
      <w:r w:rsidRPr="002F4565">
        <w:rPr>
          <w:lang w:val="pt-BR"/>
        </w:rPr>
        <w:t xml:space="preserve"> </w:t>
      </w:r>
      <w:r w:rsidR="0049090C" w:rsidRPr="002F4565">
        <w:rPr>
          <w:lang w:val="pt-BR"/>
        </w:rPr>
        <w:t>e</w:t>
      </w:r>
      <w:r w:rsidRPr="002F4565">
        <w:rPr>
          <w:lang w:val="pt-BR"/>
        </w:rPr>
        <w:t xml:space="preserve"> </w:t>
      </w:r>
      <w:r w:rsidR="004A04EC" w:rsidRPr="002F4565">
        <w:rPr>
          <w:lang w:val="pt-BR"/>
        </w:rPr>
        <w:t xml:space="preserve">cafeína </w:t>
      </w:r>
      <w:r w:rsidR="0049090C" w:rsidRPr="002F4565">
        <w:rPr>
          <w:lang w:val="pt-BR"/>
        </w:rPr>
        <w:t>e</w:t>
      </w:r>
      <w:r w:rsidRPr="002F4565">
        <w:rPr>
          <w:lang w:val="pt-BR"/>
        </w:rPr>
        <w:t xml:space="preserve"> </w:t>
      </w:r>
      <w:r w:rsidR="003F41C2" w:rsidRPr="002F4565">
        <w:rPr>
          <w:lang w:val="pt-BR"/>
        </w:rPr>
        <w:t>outr</w:t>
      </w:r>
      <w:r w:rsidR="004A04EC" w:rsidRPr="002F4565">
        <w:rPr>
          <w:lang w:val="pt-BR"/>
        </w:rPr>
        <w:t>a</w:t>
      </w:r>
      <w:r w:rsidR="003F41C2" w:rsidRPr="002F4565">
        <w:rPr>
          <w:lang w:val="pt-BR"/>
        </w:rPr>
        <w:t>s</w:t>
      </w:r>
      <w:r w:rsidRPr="002F4565">
        <w:rPr>
          <w:lang w:val="pt-BR"/>
        </w:rPr>
        <w:t xml:space="preserve"> subst</w:t>
      </w:r>
      <w:r w:rsidR="00F21F55" w:rsidRPr="002F4565">
        <w:rPr>
          <w:lang w:val="pt-BR"/>
        </w:rPr>
        <w:t>ância</w:t>
      </w:r>
      <w:r w:rsidRPr="002F4565">
        <w:rPr>
          <w:lang w:val="pt-BR"/>
        </w:rPr>
        <w:t>s</w:t>
      </w:r>
      <w:r w:rsidR="004A04EC" w:rsidRPr="002F4565">
        <w:rPr>
          <w:lang w:val="pt-BR"/>
        </w:rPr>
        <w:t xml:space="preserve"> prejudiciais</w:t>
      </w:r>
      <w:r w:rsidRPr="002F4565">
        <w:rPr>
          <w:lang w:val="pt-BR"/>
        </w:rPr>
        <w:t>, regul</w:t>
      </w:r>
      <w:r w:rsidR="004A04EC" w:rsidRPr="002F4565">
        <w:rPr>
          <w:lang w:val="pt-BR"/>
        </w:rPr>
        <w:t xml:space="preserve">em </w:t>
      </w:r>
      <w:r w:rsidR="00BC3868" w:rsidRPr="002F4565">
        <w:rPr>
          <w:lang w:val="pt-BR"/>
        </w:rPr>
        <w:t>a publicidade</w:t>
      </w:r>
      <w:r w:rsidRPr="002F4565">
        <w:rPr>
          <w:lang w:val="pt-BR"/>
        </w:rPr>
        <w:t xml:space="preserve"> </w:t>
      </w:r>
      <w:r w:rsidR="0049090C" w:rsidRPr="002F4565">
        <w:rPr>
          <w:lang w:val="pt-BR"/>
        </w:rPr>
        <w:t>de</w:t>
      </w:r>
      <w:r w:rsidRPr="002F4565">
        <w:rPr>
          <w:lang w:val="pt-BR"/>
        </w:rPr>
        <w:t xml:space="preserve"> </w:t>
      </w:r>
      <w:r w:rsidR="004A04EC" w:rsidRPr="002F4565">
        <w:rPr>
          <w:lang w:val="pt-BR"/>
        </w:rPr>
        <w:t xml:space="preserve">tais </w:t>
      </w:r>
      <w:r w:rsidR="00261A8A" w:rsidRPr="002F4565">
        <w:rPr>
          <w:lang w:val="pt-BR"/>
        </w:rPr>
        <w:t>alimentos</w:t>
      </w:r>
      <w:r w:rsidRPr="002F4565">
        <w:rPr>
          <w:lang w:val="pt-BR"/>
        </w:rPr>
        <w:t xml:space="preserve"> </w:t>
      </w:r>
      <w:r w:rsidR="0049090C" w:rsidRPr="002F4565">
        <w:rPr>
          <w:lang w:val="pt-BR"/>
        </w:rPr>
        <w:t>e</w:t>
      </w:r>
      <w:r w:rsidRPr="002F4565">
        <w:rPr>
          <w:lang w:val="pt-BR"/>
        </w:rPr>
        <w:t xml:space="preserve"> control</w:t>
      </w:r>
      <w:r w:rsidR="004A04EC" w:rsidRPr="002F4565">
        <w:rPr>
          <w:lang w:val="pt-BR"/>
        </w:rPr>
        <w:t>em</w:t>
      </w:r>
      <w:r w:rsidRPr="002F4565">
        <w:rPr>
          <w:lang w:val="pt-BR"/>
        </w:rPr>
        <w:t xml:space="preserve"> </w:t>
      </w:r>
      <w:r w:rsidR="004A04EC" w:rsidRPr="002F4565">
        <w:rPr>
          <w:lang w:val="pt-BR"/>
        </w:rPr>
        <w:t xml:space="preserve">sua </w:t>
      </w:r>
      <w:r w:rsidR="0049090C" w:rsidRPr="002F4565">
        <w:rPr>
          <w:lang w:val="pt-BR"/>
        </w:rPr>
        <w:t>disponibilidade</w:t>
      </w:r>
      <w:r w:rsidRPr="002F4565">
        <w:rPr>
          <w:lang w:val="pt-BR"/>
        </w:rPr>
        <w:t xml:space="preserve"> </w:t>
      </w:r>
      <w:r w:rsidR="004A04EC" w:rsidRPr="002F4565">
        <w:rPr>
          <w:lang w:val="pt-BR"/>
        </w:rPr>
        <w:t xml:space="preserve">nas </w:t>
      </w:r>
      <w:r w:rsidR="00072E1E" w:rsidRPr="002F4565">
        <w:rPr>
          <w:lang w:val="pt-BR"/>
        </w:rPr>
        <w:t>escola</w:t>
      </w:r>
      <w:r w:rsidRPr="002F4565">
        <w:rPr>
          <w:lang w:val="pt-BR"/>
        </w:rPr>
        <w:t xml:space="preserve">s </w:t>
      </w:r>
      <w:r w:rsidR="0049090C" w:rsidRPr="002F4565">
        <w:rPr>
          <w:lang w:val="pt-BR"/>
        </w:rPr>
        <w:t>e</w:t>
      </w:r>
      <w:r w:rsidRPr="002F4565">
        <w:rPr>
          <w:lang w:val="pt-BR"/>
        </w:rPr>
        <w:t xml:space="preserve"> </w:t>
      </w:r>
      <w:r w:rsidR="003F41C2" w:rsidRPr="002F4565">
        <w:rPr>
          <w:lang w:val="pt-BR"/>
        </w:rPr>
        <w:t>outros</w:t>
      </w:r>
      <w:r w:rsidRPr="002F4565">
        <w:rPr>
          <w:lang w:val="pt-BR"/>
        </w:rPr>
        <w:t xml:space="preserve"> </w:t>
      </w:r>
      <w:r w:rsidR="004A04EC" w:rsidRPr="002F4565">
        <w:rPr>
          <w:lang w:val="pt-BR"/>
        </w:rPr>
        <w:t xml:space="preserve">locais </w:t>
      </w:r>
      <w:r w:rsidRPr="002F4565">
        <w:rPr>
          <w:lang w:val="pt-BR"/>
        </w:rPr>
        <w:t>frequent</w:t>
      </w:r>
      <w:r w:rsidR="004A04EC" w:rsidRPr="002F4565">
        <w:rPr>
          <w:lang w:val="pt-BR"/>
        </w:rPr>
        <w:t xml:space="preserve">ados pelas </w:t>
      </w:r>
      <w:r w:rsidR="00802E44" w:rsidRPr="002F4565">
        <w:rPr>
          <w:lang w:val="pt-BR"/>
        </w:rPr>
        <w:t>crianças</w:t>
      </w:r>
      <w:r w:rsidRPr="002F4565">
        <w:rPr>
          <w:lang w:val="pt-BR"/>
        </w:rPr>
        <w:t xml:space="preserve">. </w:t>
      </w:r>
      <w:r w:rsidR="004A04EC"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F21F55" w:rsidRPr="002F4565">
        <w:rPr>
          <w:lang w:val="pt-BR"/>
        </w:rPr>
        <w:t>também</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4A04EC" w:rsidRPr="002F4565">
        <w:rPr>
          <w:lang w:val="pt-BR"/>
        </w:rPr>
        <w:t xml:space="preserve">programas efetivos de </w:t>
      </w:r>
      <w:r w:rsidRPr="002F4565">
        <w:rPr>
          <w:lang w:val="pt-BR"/>
        </w:rPr>
        <w:t>educ</w:t>
      </w:r>
      <w:r w:rsidR="00F21F55" w:rsidRPr="002F4565">
        <w:rPr>
          <w:lang w:val="pt-BR"/>
        </w:rPr>
        <w:t>ação</w:t>
      </w:r>
      <w:r w:rsidRPr="002F4565">
        <w:rPr>
          <w:lang w:val="pt-BR"/>
        </w:rPr>
        <w:t xml:space="preserve"> </w:t>
      </w:r>
      <w:r w:rsidR="0049090C" w:rsidRPr="002F4565">
        <w:rPr>
          <w:lang w:val="pt-BR"/>
        </w:rPr>
        <w:t>e</w:t>
      </w:r>
      <w:r w:rsidRPr="002F4565">
        <w:rPr>
          <w:lang w:val="pt-BR"/>
        </w:rPr>
        <w:t xml:space="preserve"> </w:t>
      </w:r>
      <w:r w:rsidR="00F21F55" w:rsidRPr="002F4565">
        <w:rPr>
          <w:lang w:val="pt-BR"/>
        </w:rPr>
        <w:t>conscientização</w:t>
      </w:r>
      <w:r w:rsidRPr="002F4565">
        <w:rPr>
          <w:lang w:val="pt-BR"/>
        </w:rPr>
        <w:t xml:space="preserve"> </w:t>
      </w:r>
      <w:r w:rsidR="004A04EC" w:rsidRPr="002F4565">
        <w:rPr>
          <w:lang w:val="pt-BR"/>
        </w:rPr>
        <w:t xml:space="preserve">em saúde </w:t>
      </w:r>
      <w:r w:rsidR="0045397D" w:rsidRPr="002F4565">
        <w:rPr>
          <w:lang w:val="pt-BR"/>
        </w:rPr>
        <w:t xml:space="preserve">serão destinados a </w:t>
      </w:r>
      <w:r w:rsidR="00802E44" w:rsidRPr="002F4565">
        <w:rPr>
          <w:lang w:val="pt-BR"/>
        </w:rPr>
        <w:t>crianças</w:t>
      </w:r>
      <w:r w:rsidRPr="002F4565">
        <w:rPr>
          <w:lang w:val="pt-BR"/>
        </w:rPr>
        <w:t xml:space="preserve">, </w:t>
      </w:r>
      <w:r w:rsidR="0045397D" w:rsidRPr="002F4565">
        <w:rPr>
          <w:lang w:val="pt-BR"/>
        </w:rPr>
        <w:t xml:space="preserve">tais como campanhas de combate </w:t>
      </w:r>
      <w:r w:rsidR="00BC3868" w:rsidRPr="002F4565">
        <w:rPr>
          <w:lang w:val="pt-BR"/>
        </w:rPr>
        <w:t>a publicidade</w:t>
      </w:r>
      <w:r w:rsidR="0045397D" w:rsidRPr="002F4565">
        <w:rPr>
          <w:lang w:val="pt-BR"/>
        </w:rPr>
        <w:t xml:space="preserve"> </w:t>
      </w:r>
      <w:r w:rsidR="003F41C2" w:rsidRPr="002F4565">
        <w:rPr>
          <w:lang w:val="pt-BR"/>
        </w:rPr>
        <w:t>ou</w:t>
      </w:r>
      <w:r w:rsidRPr="002F4565">
        <w:rPr>
          <w:lang w:val="pt-BR"/>
        </w:rPr>
        <w:t xml:space="preserve"> </w:t>
      </w:r>
      <w:r w:rsidR="00B5729E" w:rsidRPr="002F4565">
        <w:rPr>
          <w:lang w:val="pt-BR"/>
        </w:rPr>
        <w:t>programas</w:t>
      </w:r>
      <w:r w:rsidR="0045397D" w:rsidRPr="002F4565">
        <w:rPr>
          <w:lang w:val="pt-BR"/>
        </w:rPr>
        <w:t xml:space="preserve"> de educação entre pares</w:t>
      </w:r>
      <w:r w:rsidRPr="002F4565">
        <w:rPr>
          <w:lang w:val="pt-BR"/>
        </w:rPr>
        <w:t xml:space="preserve"> </w:t>
      </w:r>
      <w:r w:rsidR="0049090C" w:rsidRPr="002F4565">
        <w:rPr>
          <w:lang w:val="pt-BR"/>
        </w:rPr>
        <w:t>e</w:t>
      </w:r>
      <w:r w:rsidRPr="002F4565">
        <w:rPr>
          <w:lang w:val="pt-BR"/>
        </w:rPr>
        <w:t xml:space="preserve"> </w:t>
      </w:r>
      <w:r w:rsidR="006A31E1" w:rsidRPr="002F4565">
        <w:rPr>
          <w:lang w:val="pt-BR"/>
        </w:rPr>
        <w:t>que</w:t>
      </w:r>
      <w:r w:rsidRPr="002F4565">
        <w:rPr>
          <w:lang w:val="pt-BR"/>
        </w:rPr>
        <w:t xml:space="preserve"> </w:t>
      </w:r>
      <w:r w:rsidR="00F21F55" w:rsidRPr="002F4565">
        <w:rPr>
          <w:lang w:val="pt-BR"/>
        </w:rPr>
        <w:t>opções</w:t>
      </w:r>
      <w:r w:rsidRPr="002F4565">
        <w:rPr>
          <w:lang w:val="pt-BR"/>
        </w:rPr>
        <w:t xml:space="preserve"> </w:t>
      </w:r>
      <w:r w:rsidR="0045397D" w:rsidRPr="002F4565">
        <w:rPr>
          <w:lang w:val="pt-BR"/>
        </w:rPr>
        <w:t xml:space="preserve">de alimentos saudáveis </w:t>
      </w:r>
      <w:r w:rsidR="0049090C" w:rsidRPr="002F4565">
        <w:rPr>
          <w:lang w:val="pt-BR"/>
        </w:rPr>
        <w:t>e</w:t>
      </w:r>
      <w:r w:rsidRPr="002F4565">
        <w:rPr>
          <w:lang w:val="pt-BR"/>
        </w:rPr>
        <w:t xml:space="preserve"> </w:t>
      </w:r>
      <w:r w:rsidR="00F21F55" w:rsidRPr="002F4565">
        <w:rPr>
          <w:lang w:val="pt-BR"/>
        </w:rPr>
        <w:t>informações</w:t>
      </w:r>
      <w:r w:rsidRPr="002F4565">
        <w:rPr>
          <w:lang w:val="pt-BR"/>
        </w:rPr>
        <w:t xml:space="preserve"> </w:t>
      </w:r>
      <w:r w:rsidR="00C47496" w:rsidRPr="002F4565">
        <w:rPr>
          <w:lang w:val="pt-BR"/>
        </w:rPr>
        <w:t xml:space="preserve">relacionadas com </w:t>
      </w:r>
      <w:r w:rsidR="0045397D" w:rsidRPr="002F4565">
        <w:rPr>
          <w:lang w:val="pt-BR"/>
        </w:rPr>
        <w:t xml:space="preserve">estas opções estarão </w:t>
      </w:r>
      <w:r w:rsidR="00B5729E" w:rsidRPr="002F4565">
        <w:rPr>
          <w:lang w:val="pt-BR"/>
        </w:rPr>
        <w:t>disponíveis</w:t>
      </w:r>
      <w:r w:rsidRPr="002F4565">
        <w:rPr>
          <w:lang w:val="pt-BR"/>
        </w:rPr>
        <w:t xml:space="preserve"> </w:t>
      </w:r>
      <w:r w:rsidR="0045397D" w:rsidRPr="002F4565">
        <w:rPr>
          <w:lang w:val="pt-BR"/>
        </w:rPr>
        <w:t xml:space="preserve">em instituições que atendem às </w:t>
      </w:r>
      <w:r w:rsidR="00802E44" w:rsidRPr="002F4565">
        <w:rPr>
          <w:lang w:val="pt-BR"/>
        </w:rPr>
        <w:t>crianças</w:t>
      </w:r>
      <w:r w:rsidRPr="002F4565">
        <w:rPr>
          <w:lang w:val="pt-BR"/>
        </w:rPr>
        <w:t xml:space="preserve">, </w:t>
      </w:r>
      <w:r w:rsidR="0045397D" w:rsidRPr="002F4565">
        <w:rPr>
          <w:lang w:val="pt-BR"/>
        </w:rPr>
        <w:t xml:space="preserve">como as </w:t>
      </w:r>
      <w:r w:rsidR="00072E1E" w:rsidRPr="002F4565">
        <w:rPr>
          <w:lang w:val="pt-BR"/>
        </w:rPr>
        <w:t>escola</w:t>
      </w:r>
      <w:r w:rsidRPr="002F4565">
        <w:rPr>
          <w:lang w:val="pt-BR"/>
        </w:rPr>
        <w:t xml:space="preserve">s, </w:t>
      </w:r>
      <w:r w:rsidR="0045397D" w:rsidRPr="002F4565">
        <w:rPr>
          <w:lang w:val="pt-BR"/>
        </w:rPr>
        <w:t xml:space="preserve">instalações pediátricas de </w:t>
      </w:r>
      <w:r w:rsidR="0049090C" w:rsidRPr="002F4565">
        <w:rPr>
          <w:lang w:val="pt-BR"/>
        </w:rPr>
        <w:t>saúde</w:t>
      </w:r>
      <w:r w:rsidRPr="002F4565">
        <w:rPr>
          <w:lang w:val="pt-BR"/>
        </w:rPr>
        <w:t xml:space="preserve"> </w:t>
      </w:r>
      <w:r w:rsidR="003F41C2" w:rsidRPr="002F4565">
        <w:rPr>
          <w:lang w:val="pt-BR"/>
        </w:rPr>
        <w:t>ou</w:t>
      </w:r>
      <w:r w:rsidRPr="002F4565">
        <w:rPr>
          <w:lang w:val="pt-BR"/>
        </w:rPr>
        <w:t xml:space="preserve"> </w:t>
      </w:r>
      <w:r w:rsidR="0045397D" w:rsidRPr="002F4565">
        <w:rPr>
          <w:lang w:val="pt-BR"/>
        </w:rPr>
        <w:t>centros de juventude</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B. </w:t>
      </w:r>
      <w:r w:rsidR="00802E44" w:rsidRPr="002F4565">
        <w:rPr>
          <w:lang w:val="pt-BR"/>
        </w:rPr>
        <w:t>Mulheres</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39. </w:t>
      </w:r>
      <w:r w:rsidR="0045397D" w:rsidRPr="002F4565">
        <w:rPr>
          <w:lang w:val="pt-BR"/>
        </w:rPr>
        <w:t>A</w:t>
      </w:r>
      <w:r w:rsidR="0040430A" w:rsidRPr="002F4565">
        <w:rPr>
          <w:lang w:val="pt-BR"/>
        </w:rPr>
        <w:t>limentos não saudáveis</w:t>
      </w:r>
      <w:r w:rsidRPr="002F4565">
        <w:rPr>
          <w:lang w:val="pt-BR"/>
        </w:rPr>
        <w:t xml:space="preserve"> </w:t>
      </w:r>
      <w:r w:rsidR="0045397D" w:rsidRPr="002F4565">
        <w:rPr>
          <w:lang w:val="pt-BR"/>
        </w:rPr>
        <w:t xml:space="preserve">geralmente </w:t>
      </w:r>
      <w:r w:rsidR="00703835" w:rsidRPr="002F4565">
        <w:rPr>
          <w:lang w:val="pt-BR"/>
        </w:rPr>
        <w:t xml:space="preserve">são anunciados </w:t>
      </w:r>
      <w:r w:rsidR="0045397D" w:rsidRPr="002F4565">
        <w:rPr>
          <w:lang w:val="pt-BR"/>
        </w:rPr>
        <w:t>visando os gêneros</w:t>
      </w:r>
      <w:r w:rsidRPr="002F4565">
        <w:rPr>
          <w:lang w:val="pt-BR"/>
        </w:rPr>
        <w:t>, perpetua</w:t>
      </w:r>
      <w:r w:rsidR="0045397D" w:rsidRPr="002F4565">
        <w:rPr>
          <w:lang w:val="pt-BR"/>
        </w:rPr>
        <w:t xml:space="preserve">ndo a dinâmica tradicional e desigual de gêneros em desvantagem para as </w:t>
      </w:r>
      <w:r w:rsidR="00802E44" w:rsidRPr="002F4565">
        <w:rPr>
          <w:lang w:val="pt-BR"/>
        </w:rPr>
        <w:t>mulheres</w:t>
      </w:r>
      <w:r w:rsidRPr="002F4565">
        <w:rPr>
          <w:lang w:val="pt-BR"/>
        </w:rPr>
        <w:t xml:space="preserve">. </w:t>
      </w:r>
      <w:r w:rsidR="0045397D" w:rsidRPr="002F4565">
        <w:rPr>
          <w:lang w:val="pt-BR"/>
        </w:rPr>
        <w:t>Apesar do aumento d</w:t>
      </w:r>
      <w:r w:rsidR="00140D97" w:rsidRPr="002F4565">
        <w:rPr>
          <w:lang w:val="pt-BR"/>
        </w:rPr>
        <w:t xml:space="preserve">as famílias </w:t>
      </w:r>
      <w:r w:rsidR="0045397D" w:rsidRPr="002F4565">
        <w:rPr>
          <w:lang w:val="pt-BR"/>
        </w:rPr>
        <w:t xml:space="preserve">com dupla renda </w:t>
      </w:r>
      <w:r w:rsidR="003F41C2" w:rsidRPr="002F4565">
        <w:rPr>
          <w:lang w:val="pt-BR"/>
        </w:rPr>
        <w:t>ou</w:t>
      </w:r>
      <w:r w:rsidRPr="002F4565">
        <w:rPr>
          <w:lang w:val="pt-BR"/>
        </w:rPr>
        <w:t xml:space="preserve"> </w:t>
      </w:r>
      <w:r w:rsidR="0045397D" w:rsidRPr="002F4565">
        <w:rPr>
          <w:lang w:val="pt-BR"/>
        </w:rPr>
        <w:t>de mulheres chefes de família</w:t>
      </w:r>
      <w:r w:rsidRPr="002F4565">
        <w:rPr>
          <w:lang w:val="pt-BR"/>
        </w:rPr>
        <w:t xml:space="preserve">, </w:t>
      </w:r>
      <w:r w:rsidR="0045397D" w:rsidRPr="002F4565">
        <w:rPr>
          <w:lang w:val="pt-BR"/>
        </w:rPr>
        <w:t xml:space="preserve">as </w:t>
      </w:r>
      <w:r w:rsidR="00802E44" w:rsidRPr="002F4565">
        <w:rPr>
          <w:lang w:val="pt-BR"/>
        </w:rPr>
        <w:t>mulheres</w:t>
      </w:r>
      <w:r w:rsidRPr="002F4565">
        <w:rPr>
          <w:lang w:val="pt-BR"/>
        </w:rPr>
        <w:t xml:space="preserve"> </w:t>
      </w:r>
      <w:r w:rsidR="0045397D" w:rsidRPr="002F4565">
        <w:rPr>
          <w:lang w:val="pt-BR"/>
        </w:rPr>
        <w:t>ainda respondem por uma parcela desproporcional das tarefas domésticas</w:t>
      </w:r>
      <w:r w:rsidRPr="002F4565">
        <w:rPr>
          <w:lang w:val="pt-BR"/>
        </w:rPr>
        <w:t>, parti</w:t>
      </w:r>
      <w:r w:rsidR="00FB4DE4" w:rsidRPr="002F4565">
        <w:rPr>
          <w:lang w:val="pt-BR"/>
        </w:rPr>
        <w:t>cularmente</w:t>
      </w:r>
      <w:r w:rsidRPr="002F4565">
        <w:rPr>
          <w:lang w:val="pt-BR"/>
        </w:rPr>
        <w:t xml:space="preserve"> </w:t>
      </w:r>
      <w:r w:rsidR="0045397D" w:rsidRPr="002F4565">
        <w:rPr>
          <w:lang w:val="pt-BR"/>
        </w:rPr>
        <w:t xml:space="preserve">na preparação de </w:t>
      </w:r>
      <w:r w:rsidR="001730DC" w:rsidRPr="002F4565">
        <w:rPr>
          <w:lang w:val="pt-BR"/>
        </w:rPr>
        <w:t>refeições</w:t>
      </w:r>
      <w:r w:rsidRPr="002F4565">
        <w:rPr>
          <w:lang w:val="pt-BR"/>
        </w:rPr>
        <w:t xml:space="preserve">. </w:t>
      </w:r>
      <w:r w:rsidR="0045397D" w:rsidRPr="002F4565">
        <w:rPr>
          <w:lang w:val="pt-BR"/>
        </w:rPr>
        <w:t xml:space="preserve">Isto leva ao aumento no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w:t>
      </w:r>
      <w:r w:rsidR="0045397D" w:rsidRPr="002F4565">
        <w:rPr>
          <w:lang w:val="pt-BR"/>
        </w:rPr>
        <w:t xml:space="preserve"> de conveniência</w:t>
      </w:r>
      <w:r w:rsidR="00703835" w:rsidRPr="002F4565">
        <w:rPr>
          <w:lang w:val="pt-BR"/>
        </w:rPr>
        <w:t>,</w:t>
      </w:r>
      <w:r w:rsidR="0045397D" w:rsidRPr="002F4565">
        <w:rPr>
          <w:lang w:val="pt-BR"/>
        </w:rPr>
        <w:t xml:space="preserve"> altamente processados</w:t>
      </w:r>
      <w:r w:rsidRPr="002F4565">
        <w:rPr>
          <w:lang w:val="pt-BR"/>
        </w:rPr>
        <w:t xml:space="preserve">, </w:t>
      </w:r>
      <w:r w:rsidR="0045397D" w:rsidRPr="002F4565">
        <w:rPr>
          <w:lang w:val="pt-BR"/>
        </w:rPr>
        <w:t xml:space="preserve">na medida em que </w:t>
      </w:r>
      <w:r w:rsidRPr="002F4565">
        <w:rPr>
          <w:lang w:val="pt-BR"/>
        </w:rPr>
        <w:t xml:space="preserve">as </w:t>
      </w:r>
      <w:r w:rsidR="00802E44" w:rsidRPr="002F4565">
        <w:rPr>
          <w:lang w:val="pt-BR"/>
        </w:rPr>
        <w:t>mulheres</w:t>
      </w:r>
      <w:r w:rsidRPr="002F4565">
        <w:rPr>
          <w:lang w:val="pt-BR"/>
        </w:rPr>
        <w:t xml:space="preserve"> </w:t>
      </w:r>
      <w:r w:rsidR="0045397D" w:rsidRPr="002F4565">
        <w:rPr>
          <w:lang w:val="pt-BR"/>
        </w:rPr>
        <w:t xml:space="preserve">têm menos tempo, </w:t>
      </w:r>
      <w:r w:rsidR="0040430A" w:rsidRPr="002F4565">
        <w:rPr>
          <w:lang w:val="pt-BR"/>
        </w:rPr>
        <w:t>mas</w:t>
      </w:r>
      <w:r w:rsidRPr="002F4565">
        <w:rPr>
          <w:lang w:val="pt-BR"/>
        </w:rPr>
        <w:t xml:space="preserve"> </w:t>
      </w:r>
      <w:r w:rsidR="0045397D" w:rsidRPr="002F4565">
        <w:rPr>
          <w:lang w:val="pt-BR"/>
        </w:rPr>
        <w:t xml:space="preserve">ainda devem ser responsáveis pela provisão da </w:t>
      </w:r>
      <w:proofErr w:type="gramStart"/>
      <w:r w:rsidR="0045397D" w:rsidRPr="002F4565">
        <w:rPr>
          <w:lang w:val="pt-BR"/>
        </w:rPr>
        <w:t>alimentação</w:t>
      </w:r>
      <w:r w:rsidRPr="002F4565">
        <w:rPr>
          <w:lang w:val="pt-BR"/>
        </w:rPr>
        <w:t>.</w:t>
      </w:r>
      <w:proofErr w:type="gramEnd"/>
      <w:r w:rsidRPr="002F4565">
        <w:rPr>
          <w:vertAlign w:val="superscript"/>
          <w:lang w:val="pt-BR"/>
        </w:rPr>
        <w:t>59</w:t>
      </w:r>
      <w:r w:rsidRPr="002F4565">
        <w:rPr>
          <w:lang w:val="pt-BR"/>
        </w:rPr>
        <w:t xml:space="preserve"> </w:t>
      </w:r>
      <w:r w:rsidR="0045397D" w:rsidRPr="002F4565">
        <w:rPr>
          <w:lang w:val="pt-BR"/>
        </w:rPr>
        <w:t xml:space="preserve">A </w:t>
      </w:r>
      <w:r w:rsidR="00624BDC" w:rsidRPr="002F4565">
        <w:rPr>
          <w:lang w:val="pt-BR"/>
        </w:rPr>
        <w:t>propaganda</w:t>
      </w:r>
      <w:r w:rsidRPr="002F4565">
        <w:rPr>
          <w:lang w:val="pt-BR"/>
        </w:rPr>
        <w:t xml:space="preserve"> </w:t>
      </w:r>
      <w:r w:rsidR="0045397D" w:rsidRPr="002F4565">
        <w:rPr>
          <w:lang w:val="pt-BR"/>
        </w:rPr>
        <w:t xml:space="preserve">de alimentos geralmente se destina às </w:t>
      </w:r>
      <w:r w:rsidR="00802E44" w:rsidRPr="002F4565">
        <w:rPr>
          <w:lang w:val="pt-BR"/>
        </w:rPr>
        <w:t>mulheres</w:t>
      </w:r>
      <w:r w:rsidRPr="002F4565">
        <w:rPr>
          <w:lang w:val="pt-BR"/>
        </w:rPr>
        <w:t xml:space="preserve"> </w:t>
      </w:r>
      <w:r w:rsidR="0045397D" w:rsidRPr="002F4565">
        <w:rPr>
          <w:lang w:val="pt-BR"/>
        </w:rPr>
        <w:t xml:space="preserve">no que se refere a </w:t>
      </w:r>
      <w:r w:rsidR="001730DC" w:rsidRPr="002F4565">
        <w:rPr>
          <w:lang w:val="pt-BR"/>
        </w:rPr>
        <w:t>refeições</w:t>
      </w:r>
      <w:r w:rsidRPr="002F4565">
        <w:rPr>
          <w:lang w:val="pt-BR"/>
        </w:rPr>
        <w:t xml:space="preserve"> </w:t>
      </w:r>
      <w:r w:rsidR="0045397D" w:rsidRPr="002F4565">
        <w:rPr>
          <w:lang w:val="pt-BR"/>
        </w:rPr>
        <w:t xml:space="preserve">prontas para as </w:t>
      </w:r>
      <w:r w:rsidR="00802E44" w:rsidRPr="002F4565">
        <w:rPr>
          <w:lang w:val="pt-BR"/>
        </w:rPr>
        <w:t>crianças</w:t>
      </w:r>
      <w:r w:rsidRPr="002F4565">
        <w:rPr>
          <w:lang w:val="pt-BR"/>
        </w:rPr>
        <w:t xml:space="preserve"> </w:t>
      </w:r>
      <w:r w:rsidR="003F41C2" w:rsidRPr="002F4565">
        <w:rPr>
          <w:lang w:val="pt-BR"/>
        </w:rPr>
        <w:t>ou</w:t>
      </w:r>
      <w:r w:rsidRPr="002F4565">
        <w:rPr>
          <w:lang w:val="pt-BR"/>
        </w:rPr>
        <w:t xml:space="preserve"> </w:t>
      </w:r>
      <w:r w:rsidR="0045397D" w:rsidRPr="002F4565">
        <w:rPr>
          <w:lang w:val="pt-BR"/>
        </w:rPr>
        <w:t xml:space="preserve">oferecendo </w:t>
      </w:r>
      <w:r w:rsidR="00B5729E" w:rsidRPr="002F4565">
        <w:rPr>
          <w:lang w:val="pt-BR"/>
        </w:rPr>
        <w:t>produto</w:t>
      </w:r>
      <w:r w:rsidRPr="002F4565">
        <w:rPr>
          <w:lang w:val="pt-BR"/>
        </w:rPr>
        <w:t xml:space="preserve">s </w:t>
      </w:r>
      <w:r w:rsidR="0045397D" w:rsidRPr="002F4565">
        <w:rPr>
          <w:lang w:val="pt-BR"/>
        </w:rPr>
        <w:t xml:space="preserve">inspiradores </w:t>
      </w:r>
      <w:r w:rsidR="006A31E1" w:rsidRPr="002F4565">
        <w:rPr>
          <w:lang w:val="pt-BR"/>
        </w:rPr>
        <w:t>que</w:t>
      </w:r>
      <w:r w:rsidRPr="002F4565">
        <w:rPr>
          <w:lang w:val="pt-BR"/>
        </w:rPr>
        <w:t xml:space="preserve"> </w:t>
      </w:r>
      <w:r w:rsidR="0040430A" w:rsidRPr="002F4565">
        <w:rPr>
          <w:lang w:val="pt-BR"/>
        </w:rPr>
        <w:t>são</w:t>
      </w:r>
      <w:r w:rsidRPr="002F4565">
        <w:rPr>
          <w:lang w:val="pt-BR"/>
        </w:rPr>
        <w:t xml:space="preserve"> “</w:t>
      </w:r>
      <w:r w:rsidR="0045397D" w:rsidRPr="002F4565">
        <w:rPr>
          <w:lang w:val="pt-BR"/>
        </w:rPr>
        <w:t>melhorados</w:t>
      </w:r>
      <w:r w:rsidRPr="002F4565">
        <w:rPr>
          <w:lang w:val="pt-BR"/>
        </w:rPr>
        <w:t xml:space="preserve">” </w:t>
      </w:r>
      <w:r w:rsidR="0045397D" w:rsidRPr="002F4565">
        <w:rPr>
          <w:lang w:val="pt-BR"/>
        </w:rPr>
        <w:t xml:space="preserve">em relação às </w:t>
      </w:r>
      <w:r w:rsidR="0040430A" w:rsidRPr="002F4565">
        <w:rPr>
          <w:lang w:val="pt-BR"/>
        </w:rPr>
        <w:t>dietas</w:t>
      </w:r>
      <w:r w:rsidR="0045397D" w:rsidRPr="002F4565">
        <w:rPr>
          <w:lang w:val="pt-BR"/>
        </w:rPr>
        <w:t xml:space="preserve"> tradicionais</w:t>
      </w:r>
      <w:r w:rsidRPr="002F4565">
        <w:rPr>
          <w:lang w:val="pt-BR"/>
        </w:rPr>
        <w:t>.</w:t>
      </w:r>
    </w:p>
    <w:p w:rsidR="00115B91" w:rsidRPr="002F4565" w:rsidRDefault="00115B91" w:rsidP="0051636A">
      <w:pPr>
        <w:spacing w:before="120" w:after="0" w:line="240" w:lineRule="auto"/>
        <w:rPr>
          <w:lang w:val="pt-BR"/>
        </w:rPr>
      </w:pPr>
      <w:r w:rsidRPr="002F4565">
        <w:rPr>
          <w:lang w:val="pt-BR"/>
        </w:rPr>
        <w:lastRenderedPageBreak/>
        <w:t>40. O</w:t>
      </w:r>
      <w:r w:rsidR="0045397D" w:rsidRPr="002F4565">
        <w:rPr>
          <w:lang w:val="pt-BR"/>
        </w:rPr>
        <w:t xml:space="preserve">utras mensagens de </w:t>
      </w:r>
      <w:r w:rsidR="00BC3868" w:rsidRPr="002F4565">
        <w:rPr>
          <w:lang w:val="pt-BR"/>
        </w:rPr>
        <w:t>publicidade</w:t>
      </w:r>
      <w:r w:rsidR="0045397D" w:rsidRPr="002F4565">
        <w:rPr>
          <w:lang w:val="pt-BR"/>
        </w:rPr>
        <w:t xml:space="preserve"> destinadas às </w:t>
      </w:r>
      <w:r w:rsidR="00802E44" w:rsidRPr="002F4565">
        <w:rPr>
          <w:lang w:val="pt-BR"/>
        </w:rPr>
        <w:t>mulheres</w:t>
      </w:r>
      <w:r w:rsidRPr="002F4565">
        <w:rPr>
          <w:lang w:val="pt-BR"/>
        </w:rPr>
        <w:t xml:space="preserve"> </w:t>
      </w:r>
      <w:r w:rsidR="000E48EB" w:rsidRPr="002F4565">
        <w:rPr>
          <w:lang w:val="pt-BR"/>
        </w:rPr>
        <w:t>podem</w:t>
      </w:r>
      <w:r w:rsidRPr="002F4565">
        <w:rPr>
          <w:lang w:val="pt-BR"/>
        </w:rPr>
        <w:t xml:space="preserve"> </w:t>
      </w:r>
      <w:r w:rsidR="0045397D" w:rsidRPr="002F4565">
        <w:rPr>
          <w:lang w:val="pt-BR"/>
        </w:rPr>
        <w:t xml:space="preserve">enfatizar a </w:t>
      </w:r>
      <w:r w:rsidRPr="002F4565">
        <w:rPr>
          <w:lang w:val="pt-BR"/>
        </w:rPr>
        <w:t>sexu</w:t>
      </w:r>
      <w:r w:rsidR="0040430A" w:rsidRPr="002F4565">
        <w:rPr>
          <w:lang w:val="pt-BR"/>
        </w:rPr>
        <w:t>alidade</w:t>
      </w:r>
      <w:r w:rsidRPr="002F4565">
        <w:rPr>
          <w:lang w:val="pt-BR"/>
        </w:rPr>
        <w:t xml:space="preserve"> </w:t>
      </w:r>
      <w:r w:rsidR="0049090C" w:rsidRPr="002F4565">
        <w:rPr>
          <w:lang w:val="pt-BR"/>
        </w:rPr>
        <w:t>e</w:t>
      </w:r>
      <w:r w:rsidRPr="002F4565">
        <w:rPr>
          <w:lang w:val="pt-BR"/>
        </w:rPr>
        <w:t xml:space="preserve"> </w:t>
      </w:r>
      <w:r w:rsidR="0045397D" w:rsidRPr="002F4565">
        <w:rPr>
          <w:lang w:val="pt-BR"/>
        </w:rPr>
        <w:t xml:space="preserve">tipos corporais </w:t>
      </w:r>
      <w:r w:rsidRPr="002F4565">
        <w:rPr>
          <w:lang w:val="pt-BR"/>
        </w:rPr>
        <w:t>“des</w:t>
      </w:r>
      <w:r w:rsidR="0045397D" w:rsidRPr="002F4565">
        <w:rPr>
          <w:lang w:val="pt-BR"/>
        </w:rPr>
        <w:t>ejáveis</w:t>
      </w:r>
      <w:r w:rsidRPr="002F4565">
        <w:rPr>
          <w:lang w:val="pt-BR"/>
        </w:rPr>
        <w:t xml:space="preserve">” </w:t>
      </w:r>
      <w:r w:rsidR="0045397D" w:rsidRPr="002F4565">
        <w:rPr>
          <w:lang w:val="pt-BR"/>
        </w:rPr>
        <w:t>e inatingíveis</w:t>
      </w:r>
      <w:r w:rsidR="00703835" w:rsidRPr="002F4565">
        <w:rPr>
          <w:lang w:val="pt-BR"/>
        </w:rPr>
        <w:t>,</w:t>
      </w:r>
      <w:r w:rsidR="0045397D" w:rsidRPr="002F4565">
        <w:rPr>
          <w:lang w:val="pt-BR"/>
        </w:rPr>
        <w:t xml:space="preserve"> para </w:t>
      </w:r>
      <w:r w:rsidRPr="002F4565">
        <w:rPr>
          <w:lang w:val="pt-BR"/>
        </w:rPr>
        <w:t>promo</w:t>
      </w:r>
      <w:r w:rsidR="0045397D" w:rsidRPr="002F4565">
        <w:rPr>
          <w:lang w:val="pt-BR"/>
        </w:rPr>
        <w:t>ver</w:t>
      </w:r>
      <w:r w:rsidRPr="002F4565">
        <w:rPr>
          <w:lang w:val="pt-BR"/>
        </w:rPr>
        <w:t xml:space="preserve"> </w:t>
      </w:r>
      <w:r w:rsidR="00261A8A" w:rsidRPr="002F4565">
        <w:rPr>
          <w:lang w:val="pt-BR"/>
        </w:rPr>
        <w:t>alimentos pouco saudáveis</w:t>
      </w:r>
      <w:r w:rsidRPr="002F4565">
        <w:rPr>
          <w:lang w:val="pt-BR"/>
        </w:rPr>
        <w:t xml:space="preserve">, </w:t>
      </w:r>
      <w:r w:rsidR="0045397D" w:rsidRPr="002F4565">
        <w:rPr>
          <w:lang w:val="pt-BR"/>
        </w:rPr>
        <w:t>que</w:t>
      </w:r>
      <w:r w:rsidRPr="002F4565">
        <w:rPr>
          <w:lang w:val="pt-BR"/>
        </w:rPr>
        <w:t xml:space="preserve"> </w:t>
      </w:r>
      <w:r w:rsidR="005A25F5" w:rsidRPr="002F4565">
        <w:rPr>
          <w:lang w:val="pt-BR"/>
        </w:rPr>
        <w:t>não</w:t>
      </w:r>
      <w:r w:rsidRPr="002F4565">
        <w:rPr>
          <w:lang w:val="pt-BR"/>
        </w:rPr>
        <w:t xml:space="preserve"> </w:t>
      </w:r>
      <w:r w:rsidR="0045397D" w:rsidRPr="002F4565">
        <w:rPr>
          <w:lang w:val="pt-BR"/>
        </w:rPr>
        <w:t xml:space="preserve">apenas </w:t>
      </w:r>
      <w:r w:rsidRPr="002F4565">
        <w:rPr>
          <w:lang w:val="pt-BR"/>
        </w:rPr>
        <w:t>perpetua</w:t>
      </w:r>
      <w:r w:rsidR="0045397D" w:rsidRPr="002F4565">
        <w:rPr>
          <w:lang w:val="pt-BR"/>
        </w:rPr>
        <w:t xml:space="preserve">m os estereótipos de gênero como </w:t>
      </w:r>
      <w:r w:rsidR="00F21F55" w:rsidRPr="002F4565">
        <w:rPr>
          <w:lang w:val="pt-BR"/>
        </w:rPr>
        <w:t>também</w:t>
      </w:r>
      <w:r w:rsidRPr="002F4565">
        <w:rPr>
          <w:lang w:val="pt-BR"/>
        </w:rPr>
        <w:t xml:space="preserve"> </w:t>
      </w:r>
      <w:r w:rsidR="0045397D" w:rsidRPr="002F4565">
        <w:rPr>
          <w:lang w:val="pt-BR"/>
        </w:rPr>
        <w:t xml:space="preserve">têm impacto </w:t>
      </w:r>
      <w:r w:rsidR="00624BDC" w:rsidRPr="002F4565">
        <w:rPr>
          <w:lang w:val="pt-BR"/>
        </w:rPr>
        <w:t>negativo</w:t>
      </w:r>
      <w:r w:rsidRPr="002F4565">
        <w:rPr>
          <w:lang w:val="pt-BR"/>
        </w:rPr>
        <w:t xml:space="preserve"> </w:t>
      </w:r>
      <w:r w:rsidR="0045397D" w:rsidRPr="002F4565">
        <w:rPr>
          <w:lang w:val="pt-BR"/>
        </w:rPr>
        <w:t xml:space="preserve">na </w:t>
      </w:r>
      <w:r w:rsidR="0049090C" w:rsidRPr="002F4565">
        <w:rPr>
          <w:lang w:val="pt-BR"/>
        </w:rPr>
        <w:t>saúde</w:t>
      </w:r>
      <w:r w:rsidR="0045397D" w:rsidRPr="002F4565">
        <w:rPr>
          <w:lang w:val="pt-BR"/>
        </w:rPr>
        <w:t xml:space="preserve"> física</w:t>
      </w:r>
      <w:r w:rsidRPr="002F4565">
        <w:rPr>
          <w:lang w:val="pt-BR"/>
        </w:rPr>
        <w:t xml:space="preserve">, </w:t>
      </w:r>
      <w:r w:rsidR="0045397D" w:rsidRPr="002F4565">
        <w:rPr>
          <w:lang w:val="pt-BR"/>
        </w:rPr>
        <w:t xml:space="preserve">como as </w:t>
      </w:r>
      <w:r w:rsidR="0049090C" w:rsidRPr="002F4565">
        <w:rPr>
          <w:lang w:val="pt-BR"/>
        </w:rPr>
        <w:t>DNTs relacionadas com a dieta</w:t>
      </w:r>
      <w:r w:rsidRPr="002F4565">
        <w:rPr>
          <w:lang w:val="pt-BR"/>
        </w:rPr>
        <w:t xml:space="preserve">, </w:t>
      </w:r>
      <w:r w:rsidR="0049090C" w:rsidRPr="002F4565">
        <w:rPr>
          <w:lang w:val="pt-BR"/>
        </w:rPr>
        <w:t>e</w:t>
      </w:r>
      <w:r w:rsidRPr="002F4565">
        <w:rPr>
          <w:lang w:val="pt-BR"/>
        </w:rPr>
        <w:t xml:space="preserve"> </w:t>
      </w:r>
      <w:r w:rsidR="00703835" w:rsidRPr="002F4565">
        <w:rPr>
          <w:lang w:val="pt-BR"/>
        </w:rPr>
        <w:t xml:space="preserve">na </w:t>
      </w:r>
      <w:r w:rsidR="0045397D" w:rsidRPr="002F4565">
        <w:rPr>
          <w:lang w:val="pt-BR"/>
        </w:rPr>
        <w:t xml:space="preserve">saúde </w:t>
      </w:r>
      <w:r w:rsidRPr="002F4565">
        <w:rPr>
          <w:lang w:val="pt-BR"/>
        </w:rPr>
        <w:t xml:space="preserve">mental, </w:t>
      </w:r>
      <w:r w:rsidR="0045397D" w:rsidRPr="002F4565">
        <w:rPr>
          <w:lang w:val="pt-BR"/>
        </w:rPr>
        <w:t xml:space="preserve">como distúrbios </w:t>
      </w:r>
      <w:proofErr w:type="gramStart"/>
      <w:r w:rsidR="0045397D" w:rsidRPr="002F4565">
        <w:rPr>
          <w:lang w:val="pt-BR"/>
        </w:rPr>
        <w:t>alimentares</w:t>
      </w:r>
      <w:r w:rsidRPr="002F4565">
        <w:rPr>
          <w:lang w:val="pt-BR"/>
        </w:rPr>
        <w:t>.</w:t>
      </w:r>
      <w:proofErr w:type="gramEnd"/>
      <w:r w:rsidRPr="002F4565">
        <w:rPr>
          <w:vertAlign w:val="superscript"/>
          <w:lang w:val="pt-BR"/>
        </w:rPr>
        <w:t>60</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41. </w:t>
      </w:r>
      <w:r w:rsidR="0045397D" w:rsidRPr="002F4565">
        <w:rPr>
          <w:lang w:val="pt-BR"/>
        </w:rPr>
        <w:t xml:space="preserve">As </w:t>
      </w:r>
      <w:r w:rsidR="0049090C" w:rsidRPr="002F4565">
        <w:rPr>
          <w:lang w:val="pt-BR"/>
        </w:rPr>
        <w:t>políticas</w:t>
      </w:r>
      <w:r w:rsidRPr="002F4565">
        <w:rPr>
          <w:lang w:val="pt-BR"/>
        </w:rPr>
        <w:t xml:space="preserve"> </w:t>
      </w:r>
      <w:r w:rsidR="0045397D" w:rsidRPr="002F4565">
        <w:rPr>
          <w:lang w:val="pt-BR"/>
        </w:rPr>
        <w:t xml:space="preserve">alimentares </w:t>
      </w:r>
      <w:r w:rsidR="006A31E1" w:rsidRPr="002F4565">
        <w:rPr>
          <w:lang w:val="pt-BR"/>
        </w:rPr>
        <w:t>que</w:t>
      </w:r>
      <w:r w:rsidRPr="002F4565">
        <w:rPr>
          <w:lang w:val="pt-BR"/>
        </w:rPr>
        <w:t xml:space="preserve"> </w:t>
      </w:r>
      <w:r w:rsidR="0045397D" w:rsidRPr="002F4565">
        <w:rPr>
          <w:lang w:val="pt-BR"/>
        </w:rPr>
        <w:t xml:space="preserve">enfatizam a comida feita em casa para melhorar as </w:t>
      </w:r>
      <w:r w:rsidR="0040430A" w:rsidRPr="002F4565">
        <w:rPr>
          <w:lang w:val="pt-BR"/>
        </w:rPr>
        <w:t>dietas</w:t>
      </w:r>
      <w:r w:rsidRPr="002F4565">
        <w:rPr>
          <w:lang w:val="pt-BR"/>
        </w:rPr>
        <w:t xml:space="preserve"> </w:t>
      </w:r>
      <w:r w:rsidR="0045397D" w:rsidRPr="002F4565">
        <w:rPr>
          <w:lang w:val="pt-BR"/>
        </w:rPr>
        <w:t xml:space="preserve">devem levar em conta estas dinâmicas de gênero </w:t>
      </w:r>
      <w:r w:rsidR="0049090C" w:rsidRPr="002F4565">
        <w:rPr>
          <w:lang w:val="pt-BR"/>
        </w:rPr>
        <w:t>e</w:t>
      </w:r>
      <w:r w:rsidRPr="002F4565">
        <w:rPr>
          <w:lang w:val="pt-BR"/>
        </w:rPr>
        <w:t xml:space="preserve"> </w:t>
      </w:r>
      <w:r w:rsidR="0045397D" w:rsidRPr="002F4565">
        <w:rPr>
          <w:lang w:val="pt-BR"/>
        </w:rPr>
        <w:t>força de trabalho</w:t>
      </w:r>
      <w:r w:rsidRPr="002F4565">
        <w:rPr>
          <w:lang w:val="pt-BR"/>
        </w:rPr>
        <w:t xml:space="preserve">. </w:t>
      </w:r>
      <w:r w:rsidR="0045397D" w:rsidRPr="002F4565">
        <w:rPr>
          <w:lang w:val="pt-BR"/>
        </w:rPr>
        <w:t>Programas de alimentação s</w:t>
      </w:r>
      <w:r w:rsidR="005A25F5" w:rsidRPr="002F4565">
        <w:rPr>
          <w:lang w:val="pt-BR"/>
        </w:rPr>
        <w:t>audável</w:t>
      </w:r>
      <w:r w:rsidRPr="002F4565">
        <w:rPr>
          <w:lang w:val="pt-BR"/>
        </w:rPr>
        <w:t xml:space="preserve"> </w:t>
      </w:r>
      <w:r w:rsidR="0045397D" w:rsidRPr="002F4565">
        <w:rPr>
          <w:lang w:val="pt-BR"/>
        </w:rPr>
        <w:t xml:space="preserve">não </w:t>
      </w:r>
      <w:r w:rsidR="002E1AA7" w:rsidRPr="002F4565">
        <w:rPr>
          <w:lang w:val="pt-BR"/>
        </w:rPr>
        <w:t>devem</w:t>
      </w:r>
      <w:r w:rsidRPr="002F4565">
        <w:rPr>
          <w:lang w:val="pt-BR"/>
        </w:rPr>
        <w:t xml:space="preserve"> </w:t>
      </w:r>
      <w:r w:rsidR="0045397D" w:rsidRPr="002F4565">
        <w:rPr>
          <w:lang w:val="pt-BR"/>
        </w:rPr>
        <w:t>se concentrar somente nas mães</w:t>
      </w:r>
      <w:r w:rsidRPr="002F4565">
        <w:rPr>
          <w:lang w:val="pt-BR"/>
        </w:rPr>
        <w:t xml:space="preserve">, </w:t>
      </w:r>
      <w:r w:rsidR="0040430A" w:rsidRPr="002F4565">
        <w:rPr>
          <w:lang w:val="pt-BR"/>
        </w:rPr>
        <w:t>mas</w:t>
      </w:r>
      <w:r w:rsidRPr="002F4565">
        <w:rPr>
          <w:lang w:val="pt-BR"/>
        </w:rPr>
        <w:t xml:space="preserve"> </w:t>
      </w:r>
      <w:r w:rsidR="00F21F55" w:rsidRPr="002F4565">
        <w:rPr>
          <w:lang w:val="pt-BR"/>
        </w:rPr>
        <w:t>também</w:t>
      </w:r>
      <w:r w:rsidRPr="002F4565">
        <w:rPr>
          <w:lang w:val="pt-BR"/>
        </w:rPr>
        <w:t xml:space="preserve"> </w:t>
      </w:r>
      <w:r w:rsidR="0045397D" w:rsidRPr="002F4565">
        <w:rPr>
          <w:lang w:val="pt-BR"/>
        </w:rPr>
        <w:t xml:space="preserve">devem promover </w:t>
      </w:r>
      <w:r w:rsidR="00261A8A" w:rsidRPr="002F4565">
        <w:rPr>
          <w:lang w:val="pt-BR"/>
        </w:rPr>
        <w:t>o</w:t>
      </w:r>
      <w:r w:rsidRPr="002F4565">
        <w:rPr>
          <w:lang w:val="pt-BR"/>
        </w:rPr>
        <w:t xml:space="preserve"> </w:t>
      </w:r>
      <w:r w:rsidR="0045397D" w:rsidRPr="002F4565">
        <w:rPr>
          <w:lang w:val="pt-BR"/>
        </w:rPr>
        <w:t xml:space="preserve">papel dos homens na </w:t>
      </w:r>
      <w:r w:rsidRPr="002F4565">
        <w:rPr>
          <w:lang w:val="pt-BR"/>
        </w:rPr>
        <w:t>prepar</w:t>
      </w:r>
      <w:r w:rsidR="00F21F55" w:rsidRPr="002F4565">
        <w:rPr>
          <w:lang w:val="pt-BR"/>
        </w:rPr>
        <w:t>ação</w:t>
      </w:r>
      <w:r w:rsidR="0045397D" w:rsidRPr="002F4565">
        <w:rPr>
          <w:lang w:val="pt-BR"/>
        </w:rPr>
        <w:t xml:space="preserve"> dos alimentos</w:t>
      </w:r>
      <w:r w:rsidRPr="002F4565">
        <w:rPr>
          <w:lang w:val="pt-BR"/>
        </w:rPr>
        <w:t xml:space="preserve">, </w:t>
      </w:r>
      <w:r w:rsidR="00F21F55" w:rsidRPr="002F4565">
        <w:rPr>
          <w:lang w:val="pt-BR"/>
        </w:rPr>
        <w:t>assim como</w:t>
      </w:r>
      <w:r w:rsidRPr="002F4565">
        <w:rPr>
          <w:lang w:val="pt-BR"/>
        </w:rPr>
        <w:t xml:space="preserve"> </w:t>
      </w:r>
      <w:r w:rsidR="00E53B29" w:rsidRPr="002F4565">
        <w:rPr>
          <w:lang w:val="pt-BR"/>
        </w:rPr>
        <w:t>levar em conta uma gama diversificada de organizações familiares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C. </w:t>
      </w:r>
      <w:r w:rsidR="00802E44" w:rsidRPr="002F4565">
        <w:rPr>
          <w:lang w:val="pt-BR"/>
        </w:rPr>
        <w:t xml:space="preserve">Grupos de baixa </w:t>
      </w:r>
      <w:proofErr w:type="gramStart"/>
      <w:r w:rsidR="00802E44" w:rsidRPr="002F4565">
        <w:rPr>
          <w:lang w:val="pt-BR"/>
        </w:rPr>
        <w:t>renda</w:t>
      </w:r>
      <w:proofErr w:type="gramEnd"/>
    </w:p>
    <w:p w:rsidR="00115B91" w:rsidRPr="002F4565" w:rsidRDefault="00115B91" w:rsidP="0051636A">
      <w:pPr>
        <w:spacing w:before="120" w:after="0" w:line="240" w:lineRule="auto"/>
        <w:rPr>
          <w:lang w:val="pt-BR"/>
        </w:rPr>
      </w:pPr>
      <w:r w:rsidRPr="002F4565">
        <w:rPr>
          <w:lang w:val="pt-BR"/>
        </w:rPr>
        <w:t xml:space="preserve">42. </w:t>
      </w:r>
      <w:r w:rsidR="00C47496" w:rsidRPr="002F4565">
        <w:rPr>
          <w:lang w:val="pt-BR"/>
        </w:rPr>
        <w:t>Embora</w:t>
      </w:r>
      <w:r w:rsidRPr="002F4565">
        <w:rPr>
          <w:lang w:val="pt-BR"/>
        </w:rPr>
        <w:t xml:space="preserve"> </w:t>
      </w:r>
      <w:r w:rsidR="003A41FB" w:rsidRPr="002F4565">
        <w:rPr>
          <w:lang w:val="pt-BR"/>
        </w:rPr>
        <w:t xml:space="preserve">as </w:t>
      </w:r>
      <w:r w:rsidR="0049090C" w:rsidRPr="002F4565">
        <w:rPr>
          <w:lang w:val="pt-BR"/>
        </w:rPr>
        <w:t>DNT</w:t>
      </w:r>
      <w:r w:rsidRPr="002F4565">
        <w:rPr>
          <w:lang w:val="pt-BR"/>
        </w:rPr>
        <w:t xml:space="preserve">s </w:t>
      </w:r>
      <w:r w:rsidR="003A41FB" w:rsidRPr="002F4565">
        <w:rPr>
          <w:lang w:val="pt-BR"/>
        </w:rPr>
        <w:t xml:space="preserve">sejam percebidas </w:t>
      </w:r>
      <w:r w:rsidR="00703835" w:rsidRPr="002F4565">
        <w:rPr>
          <w:lang w:val="pt-BR"/>
        </w:rPr>
        <w:t xml:space="preserve">muitas vezes </w:t>
      </w:r>
      <w:r w:rsidR="003A41FB" w:rsidRPr="002F4565">
        <w:rPr>
          <w:lang w:val="pt-BR"/>
        </w:rPr>
        <w:t xml:space="preserve">como </w:t>
      </w:r>
      <w:r w:rsidRPr="002F4565">
        <w:rPr>
          <w:lang w:val="pt-BR"/>
        </w:rPr>
        <w:t>“</w:t>
      </w:r>
      <w:r w:rsidR="0049090C" w:rsidRPr="002F4565">
        <w:rPr>
          <w:lang w:val="pt-BR"/>
        </w:rPr>
        <w:t>doenças</w:t>
      </w:r>
      <w:r w:rsidRPr="002F4565">
        <w:rPr>
          <w:lang w:val="pt-BR"/>
        </w:rPr>
        <w:t xml:space="preserve"> </w:t>
      </w:r>
      <w:r w:rsidR="0049090C" w:rsidRPr="002F4565">
        <w:rPr>
          <w:lang w:val="pt-BR"/>
        </w:rPr>
        <w:t>d</w:t>
      </w:r>
      <w:r w:rsidR="003A41FB" w:rsidRPr="002F4565">
        <w:rPr>
          <w:lang w:val="pt-BR"/>
        </w:rPr>
        <w:t>a riqueza</w:t>
      </w:r>
      <w:r w:rsidRPr="002F4565">
        <w:rPr>
          <w:lang w:val="pt-BR"/>
        </w:rPr>
        <w:t xml:space="preserve">”, </w:t>
      </w:r>
      <w:r w:rsidR="003A41FB" w:rsidRPr="002F4565">
        <w:rPr>
          <w:lang w:val="pt-BR"/>
        </w:rPr>
        <w:t xml:space="preserve">a relação </w:t>
      </w:r>
      <w:r w:rsidR="00261A8A" w:rsidRPr="002F4565">
        <w:rPr>
          <w:lang w:val="pt-BR"/>
        </w:rPr>
        <w:t>entre</w:t>
      </w:r>
      <w:r w:rsidRPr="002F4565">
        <w:rPr>
          <w:lang w:val="pt-BR"/>
        </w:rPr>
        <w:t xml:space="preserve"> </w:t>
      </w:r>
      <w:r w:rsidR="003A41FB" w:rsidRPr="002F4565">
        <w:rPr>
          <w:lang w:val="pt-BR"/>
        </w:rPr>
        <w:t xml:space="preserve">renda </w:t>
      </w:r>
      <w:r w:rsidR="0049090C" w:rsidRPr="002F4565">
        <w:rPr>
          <w:lang w:val="pt-BR"/>
        </w:rPr>
        <w:t>e</w:t>
      </w:r>
      <w:r w:rsidRPr="002F4565">
        <w:rPr>
          <w:lang w:val="pt-BR"/>
        </w:rPr>
        <w:t xml:space="preserve"> </w:t>
      </w:r>
      <w:r w:rsidR="006A31E1" w:rsidRPr="002F4565">
        <w:rPr>
          <w:lang w:val="pt-BR"/>
        </w:rPr>
        <w:t>fatores de risco</w:t>
      </w:r>
      <w:r w:rsidRPr="002F4565">
        <w:rPr>
          <w:lang w:val="pt-BR"/>
        </w:rPr>
        <w:t xml:space="preserve"> </w:t>
      </w:r>
      <w:r w:rsidR="003A41FB" w:rsidRPr="002F4565">
        <w:rPr>
          <w:lang w:val="pt-BR"/>
        </w:rPr>
        <w:t xml:space="preserve">relacionados com a dieta </w:t>
      </w:r>
      <w:r w:rsidR="005A25F5" w:rsidRPr="002F4565">
        <w:rPr>
          <w:lang w:val="pt-BR"/>
        </w:rPr>
        <w:t>é</w:t>
      </w:r>
      <w:r w:rsidRPr="002F4565">
        <w:rPr>
          <w:lang w:val="pt-BR"/>
        </w:rPr>
        <w:t xml:space="preserve"> </w:t>
      </w:r>
      <w:proofErr w:type="gramStart"/>
      <w:r w:rsidRPr="002F4565">
        <w:rPr>
          <w:lang w:val="pt-BR"/>
        </w:rPr>
        <w:t>complex</w:t>
      </w:r>
      <w:r w:rsidR="003A41FB" w:rsidRPr="002F4565">
        <w:rPr>
          <w:lang w:val="pt-BR"/>
        </w:rPr>
        <w:t>a</w:t>
      </w:r>
      <w:r w:rsidRPr="002F4565">
        <w:rPr>
          <w:lang w:val="pt-BR"/>
        </w:rPr>
        <w:t>.</w:t>
      </w:r>
      <w:proofErr w:type="gramEnd"/>
      <w:r w:rsidRPr="002F4565">
        <w:rPr>
          <w:vertAlign w:val="superscript"/>
          <w:lang w:val="pt-BR"/>
        </w:rPr>
        <w:t>61</w:t>
      </w:r>
      <w:r w:rsidRPr="002F4565">
        <w:rPr>
          <w:lang w:val="pt-BR"/>
        </w:rPr>
        <w:t xml:space="preserve"> </w:t>
      </w:r>
      <w:r w:rsidR="003C10C1" w:rsidRPr="002F4565">
        <w:rPr>
          <w:lang w:val="pt-BR"/>
        </w:rPr>
        <w:t>Estudos</w:t>
      </w:r>
      <w:r w:rsidRPr="002F4565">
        <w:rPr>
          <w:lang w:val="pt-BR"/>
        </w:rPr>
        <w:t xml:space="preserve"> </w:t>
      </w:r>
      <w:r w:rsidR="003A41FB" w:rsidRPr="002F4565">
        <w:rPr>
          <w:lang w:val="pt-BR"/>
        </w:rPr>
        <w:t xml:space="preserve">sugerem </w:t>
      </w:r>
      <w:r w:rsidR="006A31E1" w:rsidRPr="002F4565">
        <w:rPr>
          <w:lang w:val="pt-BR"/>
        </w:rPr>
        <w:t>que</w:t>
      </w:r>
      <w:r w:rsidRPr="002F4565">
        <w:rPr>
          <w:lang w:val="pt-BR"/>
        </w:rPr>
        <w:t xml:space="preserve"> </w:t>
      </w:r>
      <w:r w:rsidR="003A41FB" w:rsidRPr="002F4565">
        <w:rPr>
          <w:lang w:val="pt-BR"/>
        </w:rPr>
        <w:t xml:space="preserve">depois que um </w:t>
      </w:r>
      <w:r w:rsidR="007D3BE3" w:rsidRPr="002F4565">
        <w:rPr>
          <w:lang w:val="pt-BR"/>
        </w:rPr>
        <w:t>país</w:t>
      </w:r>
      <w:r w:rsidRPr="002F4565">
        <w:rPr>
          <w:lang w:val="pt-BR"/>
        </w:rPr>
        <w:t xml:space="preserve"> </w:t>
      </w:r>
      <w:r w:rsidR="003A41FB" w:rsidRPr="002F4565">
        <w:rPr>
          <w:lang w:val="pt-BR"/>
        </w:rPr>
        <w:t xml:space="preserve">atinge um PIB bruto per </w:t>
      </w:r>
      <w:r w:rsidRPr="002F4565">
        <w:rPr>
          <w:lang w:val="pt-BR"/>
        </w:rPr>
        <w:t xml:space="preserve">capita </w:t>
      </w:r>
      <w:r w:rsidR="0049090C" w:rsidRPr="002F4565">
        <w:rPr>
          <w:lang w:val="pt-BR"/>
        </w:rPr>
        <w:t>de</w:t>
      </w:r>
      <w:r w:rsidRPr="002F4565">
        <w:rPr>
          <w:lang w:val="pt-BR"/>
        </w:rPr>
        <w:t xml:space="preserve"> US$ 2</w:t>
      </w:r>
      <w:r w:rsidR="003A41FB" w:rsidRPr="002F4565">
        <w:rPr>
          <w:lang w:val="pt-BR"/>
        </w:rPr>
        <w:t>.</w:t>
      </w:r>
      <w:r w:rsidRPr="002F4565">
        <w:rPr>
          <w:lang w:val="pt-BR"/>
        </w:rPr>
        <w:t xml:space="preserve">500, </w:t>
      </w:r>
      <w:r w:rsidR="003A41FB" w:rsidRPr="002F4565">
        <w:rPr>
          <w:lang w:val="pt-BR"/>
        </w:rPr>
        <w:t xml:space="preserve">a </w:t>
      </w:r>
      <w:r w:rsidR="0040430A" w:rsidRPr="002F4565">
        <w:rPr>
          <w:lang w:val="pt-BR"/>
        </w:rPr>
        <w:t>obesidade</w:t>
      </w:r>
      <w:r w:rsidRPr="002F4565">
        <w:rPr>
          <w:lang w:val="pt-BR"/>
        </w:rPr>
        <w:t xml:space="preserve"> </w:t>
      </w:r>
      <w:r w:rsidR="003A41FB" w:rsidRPr="002F4565">
        <w:rPr>
          <w:lang w:val="pt-BR"/>
        </w:rPr>
        <w:t xml:space="preserve">se torna mais predominante nos </w:t>
      </w:r>
      <w:r w:rsidR="00802E44" w:rsidRPr="002F4565">
        <w:rPr>
          <w:lang w:val="pt-BR"/>
        </w:rPr>
        <w:t>grupos</w:t>
      </w:r>
      <w:r w:rsidR="003A41FB" w:rsidRPr="002F4565">
        <w:rPr>
          <w:lang w:val="pt-BR"/>
        </w:rPr>
        <w:t xml:space="preserve"> de menor renda do que nos de maior renda</w:t>
      </w:r>
      <w:r w:rsidRPr="002F4565">
        <w:rPr>
          <w:lang w:val="pt-BR"/>
        </w:rPr>
        <w:t>,</w:t>
      </w:r>
      <w:r w:rsidRPr="002F4565">
        <w:rPr>
          <w:vertAlign w:val="superscript"/>
          <w:lang w:val="pt-BR"/>
        </w:rPr>
        <w:t>62</w:t>
      </w:r>
      <w:r w:rsidRPr="002F4565">
        <w:rPr>
          <w:lang w:val="pt-BR"/>
        </w:rPr>
        <w:t xml:space="preserve"> </w:t>
      </w:r>
      <w:r w:rsidR="003A41FB" w:rsidRPr="002F4565">
        <w:rPr>
          <w:lang w:val="pt-BR"/>
        </w:rPr>
        <w:t xml:space="preserve">ao passo que o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alimento</w:t>
      </w:r>
      <w:r w:rsidR="003A41FB" w:rsidRPr="002F4565">
        <w:rPr>
          <w:lang w:val="pt-BR"/>
        </w:rPr>
        <w:t>s</w:t>
      </w:r>
      <w:r w:rsidRPr="002F4565">
        <w:rPr>
          <w:lang w:val="pt-BR"/>
        </w:rPr>
        <w:t xml:space="preserve"> </w:t>
      </w:r>
      <w:r w:rsidR="003A41FB" w:rsidRPr="002F4565">
        <w:rPr>
          <w:lang w:val="pt-BR"/>
        </w:rPr>
        <w:t xml:space="preserve">não saudáveis </w:t>
      </w:r>
      <w:r w:rsidR="005A25F5" w:rsidRPr="002F4565">
        <w:rPr>
          <w:lang w:val="pt-BR"/>
        </w:rPr>
        <w:t>é</w:t>
      </w:r>
      <w:r w:rsidRPr="002F4565">
        <w:rPr>
          <w:lang w:val="pt-BR"/>
        </w:rPr>
        <w:t xml:space="preserve"> </w:t>
      </w:r>
      <w:r w:rsidR="003A41FB" w:rsidRPr="002F4565">
        <w:rPr>
          <w:lang w:val="pt-BR"/>
        </w:rPr>
        <w:t xml:space="preserve">efetivamente associado </w:t>
      </w:r>
      <w:r w:rsidR="00F21F55" w:rsidRPr="002F4565">
        <w:rPr>
          <w:lang w:val="pt-BR"/>
        </w:rPr>
        <w:t>com</w:t>
      </w:r>
      <w:r w:rsidRPr="002F4565">
        <w:rPr>
          <w:lang w:val="pt-BR"/>
        </w:rPr>
        <w:t xml:space="preserve"> </w:t>
      </w:r>
      <w:r w:rsidR="003A41FB" w:rsidRPr="002F4565">
        <w:rPr>
          <w:lang w:val="pt-BR"/>
        </w:rPr>
        <w:t xml:space="preserve">a renda menor </w:t>
      </w:r>
      <w:r w:rsidR="0049090C" w:rsidRPr="002F4565">
        <w:rPr>
          <w:lang w:val="pt-BR"/>
        </w:rPr>
        <w:t>e</w:t>
      </w:r>
      <w:r w:rsidRPr="002F4565">
        <w:rPr>
          <w:lang w:val="pt-BR"/>
        </w:rPr>
        <w:t xml:space="preserve"> </w:t>
      </w:r>
      <w:r w:rsidR="003A41FB" w:rsidRPr="002F4565">
        <w:rPr>
          <w:lang w:val="pt-BR"/>
        </w:rPr>
        <w:t xml:space="preserve">menores </w:t>
      </w:r>
      <w:r w:rsidR="003F41C2" w:rsidRPr="002F4565">
        <w:rPr>
          <w:lang w:val="pt-BR"/>
        </w:rPr>
        <w:t>níveis</w:t>
      </w:r>
      <w:r w:rsidRPr="002F4565">
        <w:rPr>
          <w:lang w:val="pt-BR"/>
        </w:rPr>
        <w:t xml:space="preserve"> </w:t>
      </w:r>
      <w:r w:rsidR="0049090C" w:rsidRPr="002F4565">
        <w:rPr>
          <w:lang w:val="pt-BR"/>
        </w:rPr>
        <w:t>de</w:t>
      </w:r>
      <w:r w:rsidRPr="002F4565">
        <w:rPr>
          <w:lang w:val="pt-BR"/>
        </w:rPr>
        <w:t xml:space="preserve"> educ</w:t>
      </w:r>
      <w:r w:rsidR="00F21F55" w:rsidRPr="002F4565">
        <w:rPr>
          <w:lang w:val="pt-BR"/>
        </w:rPr>
        <w:t>ação</w:t>
      </w:r>
      <w:r w:rsidRPr="002F4565">
        <w:rPr>
          <w:lang w:val="pt-BR"/>
        </w:rPr>
        <w:t xml:space="preserve"> </w:t>
      </w:r>
      <w:r w:rsidR="00FB4DE4" w:rsidRPr="002F4565">
        <w:rPr>
          <w:lang w:val="pt-BR"/>
        </w:rPr>
        <w:t>em</w:t>
      </w:r>
      <w:r w:rsidRPr="002F4565">
        <w:rPr>
          <w:lang w:val="pt-BR"/>
        </w:rPr>
        <w:t xml:space="preserve"> </w:t>
      </w:r>
      <w:r w:rsidR="003A41FB" w:rsidRPr="002F4565">
        <w:rPr>
          <w:lang w:val="pt-BR"/>
        </w:rPr>
        <w:t xml:space="preserve">vários </w:t>
      </w:r>
      <w:r w:rsidR="00FB4DE4" w:rsidRPr="002F4565">
        <w:rPr>
          <w:lang w:val="pt-BR"/>
        </w:rPr>
        <w:t>países</w:t>
      </w:r>
      <w:r w:rsidR="003A41FB" w:rsidRPr="002F4565">
        <w:rPr>
          <w:lang w:val="pt-BR"/>
        </w:rPr>
        <w:t xml:space="preserve"> desenvolvidos e de renda média</w:t>
      </w:r>
      <w:r w:rsidRPr="002F4565">
        <w:rPr>
          <w:lang w:val="pt-BR"/>
        </w:rPr>
        <w:t>.</w:t>
      </w:r>
      <w:r w:rsidRPr="002F4565">
        <w:rPr>
          <w:vertAlign w:val="superscript"/>
          <w:lang w:val="pt-BR"/>
        </w:rPr>
        <w:t>63</w:t>
      </w:r>
      <w:r w:rsidRPr="002F4565">
        <w:rPr>
          <w:lang w:val="pt-BR"/>
        </w:rPr>
        <w:t xml:space="preserve"> </w:t>
      </w:r>
      <w:r w:rsidR="003A41FB" w:rsidRPr="002F4565">
        <w:rPr>
          <w:lang w:val="pt-BR"/>
        </w:rPr>
        <w:t>A</w:t>
      </w:r>
      <w:r w:rsidRPr="002F4565">
        <w:rPr>
          <w:lang w:val="pt-BR"/>
        </w:rPr>
        <w:t xml:space="preserve"> perce</w:t>
      </w:r>
      <w:r w:rsidR="003A41FB" w:rsidRPr="002F4565">
        <w:rPr>
          <w:lang w:val="pt-BR"/>
        </w:rPr>
        <w:t>pção</w:t>
      </w:r>
      <w:r w:rsidRPr="002F4565">
        <w:rPr>
          <w:lang w:val="pt-BR"/>
        </w:rPr>
        <w:t xml:space="preserve"> </w:t>
      </w:r>
      <w:r w:rsidR="003A41FB" w:rsidRPr="002F4565">
        <w:rPr>
          <w:lang w:val="pt-BR"/>
        </w:rPr>
        <w:t xml:space="preserve">de </w:t>
      </w:r>
      <w:r w:rsidR="006A31E1" w:rsidRPr="002F4565">
        <w:rPr>
          <w:lang w:val="pt-BR"/>
        </w:rPr>
        <w:t>que</w:t>
      </w:r>
      <w:r w:rsidRPr="002F4565">
        <w:rPr>
          <w:lang w:val="pt-BR"/>
        </w:rPr>
        <w:t xml:space="preserve"> </w:t>
      </w:r>
      <w:r w:rsidR="003A41FB" w:rsidRPr="002F4565">
        <w:rPr>
          <w:lang w:val="pt-BR"/>
        </w:rPr>
        <w:t xml:space="preserve">as </w:t>
      </w:r>
      <w:r w:rsidR="0049090C" w:rsidRPr="002F4565">
        <w:rPr>
          <w:lang w:val="pt-BR"/>
        </w:rPr>
        <w:t>DNT</w:t>
      </w:r>
      <w:r w:rsidRPr="002F4565">
        <w:rPr>
          <w:lang w:val="pt-BR"/>
        </w:rPr>
        <w:t>s afet</w:t>
      </w:r>
      <w:r w:rsidR="003A41FB" w:rsidRPr="002F4565">
        <w:rPr>
          <w:lang w:val="pt-BR"/>
        </w:rPr>
        <w:t>am</w:t>
      </w:r>
      <w:r w:rsidRPr="002F4565">
        <w:rPr>
          <w:lang w:val="pt-BR"/>
        </w:rPr>
        <w:t xml:space="preserve"> </w:t>
      </w:r>
      <w:r w:rsidR="003A41FB" w:rsidRPr="002F4565">
        <w:rPr>
          <w:lang w:val="pt-BR"/>
        </w:rPr>
        <w:t xml:space="preserve">apenas os ricos levou à </w:t>
      </w:r>
      <w:r w:rsidR="00703835" w:rsidRPr="002F4565">
        <w:rPr>
          <w:lang w:val="pt-BR"/>
        </w:rPr>
        <w:t>negligência</w:t>
      </w:r>
      <w:r w:rsidR="003A41FB" w:rsidRPr="002F4565">
        <w:rPr>
          <w:lang w:val="pt-BR"/>
        </w:rPr>
        <w:t xml:space="preserve"> </w:t>
      </w:r>
      <w:r w:rsidR="00ED67D7" w:rsidRPr="002F4565">
        <w:rPr>
          <w:lang w:val="pt-BR"/>
        </w:rPr>
        <w:t xml:space="preserve">em relação às </w:t>
      </w:r>
      <w:r w:rsidR="0049090C" w:rsidRPr="002F4565">
        <w:rPr>
          <w:lang w:val="pt-BR"/>
        </w:rPr>
        <w:t>doenças</w:t>
      </w:r>
      <w:r w:rsidRPr="002F4565">
        <w:rPr>
          <w:lang w:val="pt-BR"/>
        </w:rPr>
        <w:t xml:space="preserve"> </w:t>
      </w:r>
      <w:r w:rsidR="00FB4DE4" w:rsidRPr="002F4565">
        <w:rPr>
          <w:lang w:val="pt-BR"/>
        </w:rPr>
        <w:t>em</w:t>
      </w:r>
      <w:r w:rsidRPr="002F4565">
        <w:rPr>
          <w:lang w:val="pt-BR"/>
        </w:rPr>
        <w:t xml:space="preserve"> </w:t>
      </w:r>
      <w:r w:rsidR="0049090C" w:rsidRPr="002F4565">
        <w:rPr>
          <w:lang w:val="pt-BR"/>
        </w:rPr>
        <w:t>políticas</w:t>
      </w:r>
      <w:r w:rsidRPr="002F4565">
        <w:rPr>
          <w:lang w:val="pt-BR"/>
        </w:rPr>
        <w:t xml:space="preserve"> </w:t>
      </w:r>
      <w:r w:rsidR="003A41FB" w:rsidRPr="002F4565">
        <w:rPr>
          <w:lang w:val="pt-BR"/>
        </w:rPr>
        <w:t xml:space="preserve">de saúde para pessoas de </w:t>
      </w:r>
      <w:r w:rsidR="00802E44" w:rsidRPr="002F4565">
        <w:rPr>
          <w:lang w:val="pt-BR"/>
        </w:rPr>
        <w:t>baixa renda</w:t>
      </w:r>
      <w:r w:rsidRPr="002F4565">
        <w:rPr>
          <w:lang w:val="pt-BR"/>
        </w:rPr>
        <w:t xml:space="preserve">, </w:t>
      </w:r>
      <w:r w:rsidR="003A41FB" w:rsidRPr="002F4565">
        <w:rPr>
          <w:lang w:val="pt-BR"/>
        </w:rPr>
        <w:t xml:space="preserve">em detrimento de seu </w:t>
      </w:r>
      <w:r w:rsidR="00F21F55" w:rsidRPr="002F4565">
        <w:rPr>
          <w:lang w:val="pt-BR"/>
        </w:rPr>
        <w:t>direito à saúde</w:t>
      </w:r>
      <w:r w:rsidRPr="002F4565">
        <w:rPr>
          <w:lang w:val="pt-BR"/>
        </w:rPr>
        <w:t>.</w:t>
      </w:r>
      <w:r w:rsidRPr="002F4565">
        <w:rPr>
          <w:vertAlign w:val="superscript"/>
          <w:lang w:val="pt-BR"/>
        </w:rPr>
        <w:t>64</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43. </w:t>
      </w:r>
      <w:r w:rsidR="003A41FB" w:rsidRPr="002F4565">
        <w:rPr>
          <w:lang w:val="pt-BR"/>
        </w:rPr>
        <w:t>Os g</w:t>
      </w:r>
      <w:r w:rsidR="00802E44" w:rsidRPr="002F4565">
        <w:rPr>
          <w:lang w:val="pt-BR"/>
        </w:rPr>
        <w:t>rupos de baixa renda</w:t>
      </w:r>
      <w:r w:rsidRPr="002F4565">
        <w:rPr>
          <w:lang w:val="pt-BR"/>
        </w:rPr>
        <w:t xml:space="preserve"> </w:t>
      </w:r>
      <w:r w:rsidR="003A41FB" w:rsidRPr="002F4565">
        <w:rPr>
          <w:lang w:val="pt-BR"/>
        </w:rPr>
        <w:t xml:space="preserve">muitas vezes têm dietas piores do que outros segmentos da </w:t>
      </w:r>
      <w:proofErr w:type="gramStart"/>
      <w:r w:rsidRPr="002F4565">
        <w:rPr>
          <w:lang w:val="pt-BR"/>
        </w:rPr>
        <w:t>popul</w:t>
      </w:r>
      <w:r w:rsidR="00F21F55" w:rsidRPr="002F4565">
        <w:rPr>
          <w:lang w:val="pt-BR"/>
        </w:rPr>
        <w:t>ação</w:t>
      </w:r>
      <w:r w:rsidRPr="002F4565">
        <w:rPr>
          <w:lang w:val="pt-BR"/>
        </w:rPr>
        <w:t>,</w:t>
      </w:r>
      <w:proofErr w:type="gramEnd"/>
      <w:r w:rsidRPr="002F4565">
        <w:rPr>
          <w:vertAlign w:val="superscript"/>
          <w:lang w:val="pt-BR"/>
        </w:rPr>
        <w:t>65</w:t>
      </w:r>
      <w:r w:rsidRPr="002F4565">
        <w:rPr>
          <w:lang w:val="pt-BR"/>
        </w:rPr>
        <w:t xml:space="preserve"> </w:t>
      </w:r>
      <w:r w:rsidR="003A41FB" w:rsidRPr="002F4565">
        <w:rPr>
          <w:lang w:val="pt-BR"/>
        </w:rPr>
        <w:t xml:space="preserve">na medida em que </w:t>
      </w:r>
      <w:r w:rsidR="00FB4401" w:rsidRPr="002F4565">
        <w:rPr>
          <w:lang w:val="pt-BR"/>
        </w:rPr>
        <w:t>alimentos saudáveis</w:t>
      </w:r>
      <w:r w:rsidRPr="002F4565">
        <w:rPr>
          <w:lang w:val="pt-BR"/>
        </w:rPr>
        <w:t xml:space="preserve"> </w:t>
      </w:r>
      <w:r w:rsidR="003A41FB" w:rsidRPr="002F4565">
        <w:rPr>
          <w:lang w:val="pt-BR"/>
        </w:rPr>
        <w:t xml:space="preserve">como frutas frescas </w:t>
      </w:r>
      <w:r w:rsidR="0049090C" w:rsidRPr="002F4565">
        <w:rPr>
          <w:lang w:val="pt-BR"/>
        </w:rPr>
        <w:t>e</w:t>
      </w:r>
      <w:r w:rsidRPr="002F4565">
        <w:rPr>
          <w:lang w:val="pt-BR"/>
        </w:rPr>
        <w:t xml:space="preserve"> </w:t>
      </w:r>
      <w:r w:rsidR="00182B8E" w:rsidRPr="002F4565">
        <w:rPr>
          <w:lang w:val="pt-BR"/>
        </w:rPr>
        <w:t>legumes</w:t>
      </w:r>
      <w:r w:rsidRPr="002F4565">
        <w:rPr>
          <w:lang w:val="pt-BR"/>
        </w:rPr>
        <w:t xml:space="preserve"> </w:t>
      </w:r>
      <w:r w:rsidR="000E48EB" w:rsidRPr="002F4565">
        <w:rPr>
          <w:lang w:val="pt-BR"/>
        </w:rPr>
        <w:t>podem</w:t>
      </w:r>
      <w:r w:rsidRPr="002F4565">
        <w:rPr>
          <w:lang w:val="pt-BR"/>
        </w:rPr>
        <w:t xml:space="preserve"> </w:t>
      </w:r>
      <w:r w:rsidR="003A41FB" w:rsidRPr="002F4565">
        <w:rPr>
          <w:lang w:val="pt-BR"/>
        </w:rPr>
        <w:t>ser inacessíveis para eles</w:t>
      </w:r>
      <w:r w:rsidRPr="002F4565">
        <w:rPr>
          <w:lang w:val="pt-BR"/>
        </w:rPr>
        <w:t xml:space="preserve">, </w:t>
      </w:r>
      <w:r w:rsidR="003A41FB" w:rsidRPr="002F4565">
        <w:rPr>
          <w:lang w:val="pt-BR"/>
        </w:rPr>
        <w:t xml:space="preserve">desestimulando o </w:t>
      </w:r>
      <w:r w:rsidR="0049090C" w:rsidRPr="002F4565">
        <w:rPr>
          <w:lang w:val="pt-BR"/>
        </w:rPr>
        <w:t>consumo</w:t>
      </w:r>
      <w:r w:rsidRPr="002F4565">
        <w:rPr>
          <w:lang w:val="pt-BR"/>
        </w:rPr>
        <w:t>.</w:t>
      </w:r>
      <w:r w:rsidRPr="002F4565">
        <w:rPr>
          <w:vertAlign w:val="superscript"/>
          <w:lang w:val="pt-BR"/>
        </w:rPr>
        <w:t>66</w:t>
      </w:r>
      <w:r w:rsidRPr="002F4565">
        <w:rPr>
          <w:lang w:val="pt-BR"/>
        </w:rPr>
        <w:t xml:space="preserve"> M</w:t>
      </w:r>
      <w:r w:rsidR="003A41FB" w:rsidRPr="002F4565">
        <w:rPr>
          <w:lang w:val="pt-BR"/>
        </w:rPr>
        <w:t xml:space="preserve">uitos </w:t>
      </w:r>
      <w:r w:rsidR="00802E44" w:rsidRPr="002F4565">
        <w:rPr>
          <w:lang w:val="pt-BR"/>
        </w:rPr>
        <w:t>grupos de baixa renda</w:t>
      </w:r>
      <w:r w:rsidRPr="002F4565">
        <w:rPr>
          <w:lang w:val="pt-BR"/>
        </w:rPr>
        <w:t xml:space="preserve">, </w:t>
      </w:r>
      <w:r w:rsidR="003A41FB" w:rsidRPr="002F4565">
        <w:rPr>
          <w:lang w:val="pt-BR"/>
        </w:rPr>
        <w:t>como os que trabalham em turnos</w:t>
      </w:r>
      <w:r w:rsidRPr="002F4565">
        <w:rPr>
          <w:lang w:val="pt-BR"/>
        </w:rPr>
        <w:t xml:space="preserve">, </w:t>
      </w:r>
      <w:r w:rsidR="00F21F55" w:rsidRPr="002F4565">
        <w:rPr>
          <w:lang w:val="pt-BR"/>
        </w:rPr>
        <w:t>também</w:t>
      </w:r>
      <w:r w:rsidRPr="002F4565">
        <w:rPr>
          <w:lang w:val="pt-BR"/>
        </w:rPr>
        <w:t xml:space="preserve"> tend</w:t>
      </w:r>
      <w:r w:rsidR="003A41FB" w:rsidRPr="002F4565">
        <w:rPr>
          <w:lang w:val="pt-BR"/>
        </w:rPr>
        <w:t xml:space="preserve">em a não ter o tempo </w:t>
      </w:r>
      <w:r w:rsidR="003F41C2" w:rsidRPr="002F4565">
        <w:rPr>
          <w:lang w:val="pt-BR"/>
        </w:rPr>
        <w:t>ou</w:t>
      </w:r>
      <w:r w:rsidRPr="002F4565">
        <w:rPr>
          <w:lang w:val="pt-BR"/>
        </w:rPr>
        <w:t xml:space="preserve"> </w:t>
      </w:r>
      <w:r w:rsidR="003A41FB" w:rsidRPr="002F4565">
        <w:rPr>
          <w:lang w:val="pt-BR"/>
        </w:rPr>
        <w:t>instalações para cozinhar</w:t>
      </w:r>
      <w:r w:rsidRPr="002F4565">
        <w:rPr>
          <w:lang w:val="pt-BR"/>
        </w:rPr>
        <w:t xml:space="preserve">, </w:t>
      </w:r>
      <w:r w:rsidR="003A41FB" w:rsidRPr="002F4565">
        <w:rPr>
          <w:lang w:val="pt-BR"/>
        </w:rPr>
        <w:t xml:space="preserve">tornando os </w:t>
      </w:r>
      <w:r w:rsidR="00261A8A" w:rsidRPr="002F4565">
        <w:rPr>
          <w:lang w:val="pt-BR"/>
        </w:rPr>
        <w:t>alimentos</w:t>
      </w:r>
      <w:r w:rsidRPr="002F4565">
        <w:rPr>
          <w:lang w:val="pt-BR"/>
        </w:rPr>
        <w:t xml:space="preserve"> </w:t>
      </w:r>
      <w:r w:rsidR="003A41FB" w:rsidRPr="002F4565">
        <w:rPr>
          <w:lang w:val="pt-BR"/>
        </w:rPr>
        <w:t xml:space="preserve">prontos, altamente processados, mais atraentes do que os </w:t>
      </w:r>
      <w:r w:rsidR="00FB4401" w:rsidRPr="002F4565">
        <w:rPr>
          <w:lang w:val="pt-BR"/>
        </w:rPr>
        <w:t>alimentos saudáveis</w:t>
      </w:r>
      <w:r w:rsidR="00ED67D7" w:rsidRPr="002F4565">
        <w:rPr>
          <w:lang w:val="pt-BR"/>
        </w:rPr>
        <w:t>,</w:t>
      </w:r>
      <w:r w:rsidRPr="002F4565">
        <w:rPr>
          <w:lang w:val="pt-BR"/>
        </w:rPr>
        <w:t xml:space="preserve"> </w:t>
      </w:r>
      <w:r w:rsidR="003A41FB" w:rsidRPr="002F4565">
        <w:rPr>
          <w:lang w:val="pt-BR"/>
        </w:rPr>
        <w:t xml:space="preserve">mesmo que não sejam </w:t>
      </w:r>
      <w:r w:rsidR="007D4857" w:rsidRPr="002F4565">
        <w:rPr>
          <w:lang w:val="pt-BR"/>
        </w:rPr>
        <w:t>necessariamente</w:t>
      </w:r>
      <w:r w:rsidRPr="002F4565">
        <w:rPr>
          <w:lang w:val="pt-BR"/>
        </w:rPr>
        <w:t xml:space="preserve"> </w:t>
      </w:r>
      <w:r w:rsidR="003A41FB" w:rsidRPr="002F4565">
        <w:rPr>
          <w:lang w:val="pt-BR"/>
        </w:rPr>
        <w:t>mais baratos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44. </w:t>
      </w:r>
      <w:r w:rsidR="003A41FB" w:rsidRPr="002F4565">
        <w:rPr>
          <w:lang w:val="pt-BR"/>
        </w:rPr>
        <w:t>As pessoas de b</w:t>
      </w:r>
      <w:r w:rsidR="00802E44" w:rsidRPr="002F4565">
        <w:rPr>
          <w:lang w:val="pt-BR"/>
        </w:rPr>
        <w:t>aixa renda</w:t>
      </w:r>
      <w:r w:rsidRPr="002F4565">
        <w:rPr>
          <w:lang w:val="pt-BR"/>
        </w:rPr>
        <w:t xml:space="preserve"> </w:t>
      </w:r>
      <w:r w:rsidR="00F21F55" w:rsidRPr="002F4565">
        <w:rPr>
          <w:lang w:val="pt-BR"/>
        </w:rPr>
        <w:t>também</w:t>
      </w:r>
      <w:r w:rsidRPr="002F4565">
        <w:rPr>
          <w:lang w:val="pt-BR"/>
        </w:rPr>
        <w:t xml:space="preserve"> </w:t>
      </w:r>
      <w:r w:rsidR="003A41FB" w:rsidRPr="002F4565">
        <w:rPr>
          <w:lang w:val="pt-BR"/>
        </w:rPr>
        <w:t xml:space="preserve">podem tender mais a </w:t>
      </w:r>
      <w:r w:rsidR="00ED67D7" w:rsidRPr="002F4565">
        <w:rPr>
          <w:lang w:val="pt-BR"/>
        </w:rPr>
        <w:t xml:space="preserve">comer </w:t>
      </w:r>
      <w:r w:rsidRPr="002F4565">
        <w:rPr>
          <w:lang w:val="pt-BR"/>
        </w:rPr>
        <w:t>“</w:t>
      </w:r>
      <w:r w:rsidR="003A41FB" w:rsidRPr="002F4565">
        <w:rPr>
          <w:lang w:val="pt-BR"/>
        </w:rPr>
        <w:t>sobremesas</w:t>
      </w:r>
      <w:r w:rsidR="00B6466A" w:rsidRPr="002F4565">
        <w:rPr>
          <w:lang w:val="pt-BR"/>
        </w:rPr>
        <w:t xml:space="preserve"> como alimento</w:t>
      </w:r>
      <w:r w:rsidRPr="002F4565">
        <w:rPr>
          <w:lang w:val="pt-BR"/>
        </w:rPr>
        <w:t xml:space="preserve">”, </w:t>
      </w:r>
      <w:r w:rsidR="00ED67D7" w:rsidRPr="002F4565">
        <w:rPr>
          <w:lang w:val="pt-BR"/>
        </w:rPr>
        <w:t xml:space="preserve">quando </w:t>
      </w:r>
      <w:r w:rsidR="008B5E2A" w:rsidRPr="002F4565">
        <w:rPr>
          <w:lang w:val="pt-BR"/>
        </w:rPr>
        <w:t xml:space="preserve">faltam </w:t>
      </w:r>
      <w:r w:rsidR="00F21F55" w:rsidRPr="002F4565">
        <w:rPr>
          <w:lang w:val="pt-BR"/>
        </w:rPr>
        <w:t>opções</w:t>
      </w:r>
      <w:r w:rsidRPr="002F4565">
        <w:rPr>
          <w:lang w:val="pt-BR"/>
        </w:rPr>
        <w:t xml:space="preserve"> </w:t>
      </w:r>
      <w:r w:rsidR="003A41FB" w:rsidRPr="002F4565">
        <w:rPr>
          <w:lang w:val="pt-BR"/>
        </w:rPr>
        <w:t>de alimento</w:t>
      </w:r>
      <w:r w:rsidR="008B5E2A" w:rsidRPr="002F4565">
        <w:rPr>
          <w:lang w:val="pt-BR"/>
        </w:rPr>
        <w:t>s frescos</w:t>
      </w:r>
      <w:r w:rsidR="003A41FB" w:rsidRPr="002F4565">
        <w:rPr>
          <w:lang w:val="pt-BR"/>
        </w:rPr>
        <w:t xml:space="preserve"> </w:t>
      </w:r>
      <w:r w:rsidR="008B5E2A" w:rsidRPr="002F4565">
        <w:rPr>
          <w:lang w:val="pt-BR"/>
        </w:rPr>
        <w:t>saudáveis</w:t>
      </w:r>
      <w:r w:rsidRPr="002F4565">
        <w:rPr>
          <w:lang w:val="pt-BR"/>
        </w:rPr>
        <w:t xml:space="preserve">, </w:t>
      </w:r>
      <w:r w:rsidR="003F41C2" w:rsidRPr="002F4565">
        <w:rPr>
          <w:lang w:val="pt-BR"/>
        </w:rPr>
        <w:t>ou</w:t>
      </w:r>
      <w:r w:rsidRPr="002F4565">
        <w:rPr>
          <w:lang w:val="pt-BR"/>
        </w:rPr>
        <w:t xml:space="preserve"> “</w:t>
      </w:r>
      <w:r w:rsidR="0022418F" w:rsidRPr="002F4565">
        <w:rPr>
          <w:i/>
          <w:lang w:val="pt-BR"/>
        </w:rPr>
        <w:t>lanche</w:t>
      </w:r>
      <w:r w:rsidR="00EA5149" w:rsidRPr="002F4565">
        <w:rPr>
          <w:i/>
          <w:lang w:val="pt-BR"/>
        </w:rPr>
        <w:t>s encharcado</w:t>
      </w:r>
      <w:r w:rsidR="0022418F" w:rsidRPr="002F4565">
        <w:rPr>
          <w:i/>
          <w:lang w:val="pt-BR"/>
        </w:rPr>
        <w:t>s</w:t>
      </w:r>
      <w:r w:rsidRPr="002F4565">
        <w:rPr>
          <w:lang w:val="pt-BR"/>
        </w:rPr>
        <w:t xml:space="preserve">”, </w:t>
      </w:r>
      <w:r w:rsidR="008B5E2A" w:rsidRPr="002F4565">
        <w:rPr>
          <w:lang w:val="pt-BR"/>
        </w:rPr>
        <w:t xml:space="preserve">em que há uma presença </w:t>
      </w:r>
      <w:r w:rsidRPr="002F4565">
        <w:rPr>
          <w:lang w:val="pt-BR"/>
        </w:rPr>
        <w:t>significa</w:t>
      </w:r>
      <w:r w:rsidR="008B5E2A" w:rsidRPr="002F4565">
        <w:rPr>
          <w:lang w:val="pt-BR"/>
        </w:rPr>
        <w:t xml:space="preserve">tivamente maior de </w:t>
      </w:r>
      <w:r w:rsidR="00261A8A" w:rsidRPr="002F4565">
        <w:rPr>
          <w:lang w:val="pt-BR"/>
        </w:rPr>
        <w:t>alimentos pouco saudáveis</w:t>
      </w:r>
      <w:r w:rsidRPr="002F4565">
        <w:rPr>
          <w:lang w:val="pt-BR"/>
        </w:rPr>
        <w:t xml:space="preserve"> </w:t>
      </w:r>
      <w:r w:rsidR="0049090C" w:rsidRPr="002F4565">
        <w:rPr>
          <w:lang w:val="pt-BR"/>
        </w:rPr>
        <w:t>e</w:t>
      </w:r>
      <w:r w:rsidRPr="002F4565">
        <w:rPr>
          <w:lang w:val="pt-BR"/>
        </w:rPr>
        <w:t xml:space="preserve"> </w:t>
      </w:r>
      <w:r w:rsidR="00BC3868" w:rsidRPr="002F4565">
        <w:rPr>
          <w:lang w:val="pt-BR"/>
        </w:rPr>
        <w:t>publicidade</w:t>
      </w:r>
      <w:r w:rsidR="007E67D2" w:rsidRPr="002F4565">
        <w:rPr>
          <w:lang w:val="pt-BR"/>
        </w:rPr>
        <w:t xml:space="preserve"> de alimentos</w:t>
      </w:r>
      <w:r w:rsidR="008B5E2A" w:rsidRPr="002F4565">
        <w:rPr>
          <w:lang w:val="pt-BR"/>
        </w:rPr>
        <w:t xml:space="preserve"> não saudáveis</w:t>
      </w:r>
      <w:r w:rsidRPr="002F4565">
        <w:rPr>
          <w:lang w:val="pt-BR"/>
        </w:rPr>
        <w:t xml:space="preserve">. </w:t>
      </w:r>
      <w:r w:rsidR="00FB4401" w:rsidRPr="002F4565">
        <w:rPr>
          <w:lang w:val="pt-BR"/>
        </w:rPr>
        <w:t>Alimentos saudáveis</w:t>
      </w:r>
      <w:r w:rsidRPr="002F4565">
        <w:rPr>
          <w:lang w:val="pt-BR"/>
        </w:rPr>
        <w:t xml:space="preserve"> </w:t>
      </w:r>
      <w:r w:rsidR="008B5E2A" w:rsidRPr="002F4565">
        <w:rPr>
          <w:lang w:val="pt-BR"/>
        </w:rPr>
        <w:t xml:space="preserve">muitas vezes estão menos </w:t>
      </w:r>
      <w:r w:rsidR="00B5729E" w:rsidRPr="002F4565">
        <w:rPr>
          <w:lang w:val="pt-BR"/>
        </w:rPr>
        <w:t>disponíveis</w:t>
      </w:r>
      <w:r w:rsidRPr="002F4565">
        <w:rPr>
          <w:lang w:val="pt-BR"/>
        </w:rPr>
        <w:t xml:space="preserve">, </w:t>
      </w:r>
      <w:r w:rsidR="0022418F" w:rsidRPr="002F4565">
        <w:rPr>
          <w:lang w:val="pt-BR"/>
        </w:rPr>
        <w:t xml:space="preserve">têm </w:t>
      </w:r>
      <w:r w:rsidR="008B5E2A" w:rsidRPr="002F4565">
        <w:rPr>
          <w:lang w:val="pt-BR"/>
        </w:rPr>
        <w:t xml:space="preserve">menor </w:t>
      </w:r>
      <w:r w:rsidRPr="002F4565">
        <w:rPr>
          <w:lang w:val="pt-BR"/>
        </w:rPr>
        <w:t>qu</w:t>
      </w:r>
      <w:r w:rsidR="0040430A" w:rsidRPr="002F4565">
        <w:rPr>
          <w:lang w:val="pt-BR"/>
        </w:rPr>
        <w:t>alidade</w:t>
      </w:r>
      <w:r w:rsidRPr="002F4565">
        <w:rPr>
          <w:lang w:val="pt-BR"/>
        </w:rPr>
        <w:t xml:space="preserve"> </w:t>
      </w:r>
      <w:r w:rsidR="0049090C" w:rsidRPr="002F4565">
        <w:rPr>
          <w:lang w:val="pt-BR"/>
        </w:rPr>
        <w:t>e</w:t>
      </w:r>
      <w:r w:rsidRPr="002F4565">
        <w:rPr>
          <w:lang w:val="pt-BR"/>
        </w:rPr>
        <w:t xml:space="preserve"> </w:t>
      </w:r>
      <w:r w:rsidR="008B5E2A" w:rsidRPr="002F4565">
        <w:rPr>
          <w:lang w:val="pt-BR"/>
        </w:rPr>
        <w:t>atratividade</w:t>
      </w:r>
      <w:r w:rsidRPr="002F4565">
        <w:rPr>
          <w:lang w:val="pt-BR"/>
        </w:rPr>
        <w:t xml:space="preserve"> </w:t>
      </w:r>
      <w:r w:rsidR="003F41C2" w:rsidRPr="002F4565">
        <w:rPr>
          <w:lang w:val="pt-BR"/>
        </w:rPr>
        <w:t>ou</w:t>
      </w:r>
      <w:r w:rsidRPr="002F4565">
        <w:rPr>
          <w:lang w:val="pt-BR"/>
        </w:rPr>
        <w:t xml:space="preserve"> </w:t>
      </w:r>
      <w:r w:rsidR="0022418F" w:rsidRPr="002F4565">
        <w:rPr>
          <w:lang w:val="pt-BR"/>
        </w:rPr>
        <w:t xml:space="preserve">são </w:t>
      </w:r>
      <w:r w:rsidR="008B5E2A" w:rsidRPr="002F4565">
        <w:rPr>
          <w:lang w:val="pt-BR"/>
        </w:rPr>
        <w:t xml:space="preserve">mais caros nas </w:t>
      </w:r>
      <w:r w:rsidR="007D4857" w:rsidRPr="002F4565">
        <w:rPr>
          <w:lang w:val="pt-BR"/>
        </w:rPr>
        <w:t>áreas</w:t>
      </w:r>
      <w:r w:rsidR="008B5E2A" w:rsidRPr="002F4565">
        <w:rPr>
          <w:lang w:val="pt-BR"/>
        </w:rPr>
        <w:t xml:space="preserve"> de baixa </w:t>
      </w:r>
      <w:proofErr w:type="gramStart"/>
      <w:r w:rsidR="008B5E2A" w:rsidRPr="002F4565">
        <w:rPr>
          <w:lang w:val="pt-BR"/>
        </w:rPr>
        <w:t>renda</w:t>
      </w:r>
      <w:r w:rsidRPr="002F4565">
        <w:rPr>
          <w:lang w:val="pt-BR"/>
        </w:rPr>
        <w:t>.</w:t>
      </w:r>
      <w:proofErr w:type="gramEnd"/>
      <w:r w:rsidRPr="002F4565">
        <w:rPr>
          <w:vertAlign w:val="superscript"/>
          <w:lang w:val="pt-BR"/>
        </w:rPr>
        <w:t>67</w:t>
      </w:r>
      <w:r w:rsidRPr="002F4565">
        <w:rPr>
          <w:lang w:val="pt-BR"/>
        </w:rPr>
        <w:t xml:space="preserve"> </w:t>
      </w:r>
      <w:r w:rsidR="008B5E2A" w:rsidRPr="002F4565">
        <w:rPr>
          <w:lang w:val="pt-BR"/>
        </w:rPr>
        <w:t>Por outro lado</w:t>
      </w:r>
      <w:r w:rsidRPr="002F4565">
        <w:rPr>
          <w:lang w:val="pt-BR"/>
        </w:rPr>
        <w:t xml:space="preserve">, </w:t>
      </w:r>
      <w:r w:rsidR="008B5E2A" w:rsidRPr="002F4565">
        <w:rPr>
          <w:lang w:val="pt-BR"/>
        </w:rPr>
        <w:t xml:space="preserve">as áreas de menor renda podem ter até duas vezes e meia o número de restaurantes de </w:t>
      </w:r>
      <w:r w:rsidR="007D3BE3" w:rsidRPr="002F4565">
        <w:rPr>
          <w:i/>
          <w:lang w:val="pt-BR"/>
        </w:rPr>
        <w:t>fast food</w:t>
      </w:r>
      <w:r w:rsidRPr="002F4565">
        <w:rPr>
          <w:lang w:val="pt-BR"/>
        </w:rPr>
        <w:t xml:space="preserve"> </w:t>
      </w:r>
      <w:r w:rsidR="00ED67D7" w:rsidRPr="002F4565">
        <w:rPr>
          <w:lang w:val="pt-BR"/>
        </w:rPr>
        <w:t xml:space="preserve">(lanchonetes) </w:t>
      </w:r>
      <w:r w:rsidR="008B5E2A" w:rsidRPr="002F4565">
        <w:rPr>
          <w:lang w:val="pt-BR"/>
        </w:rPr>
        <w:t>em comparação com as áreas de renda mais alta</w:t>
      </w:r>
      <w:r w:rsidRPr="002F4565">
        <w:rPr>
          <w:lang w:val="pt-BR"/>
        </w:rPr>
        <w:t>.</w:t>
      </w:r>
      <w:r w:rsidRPr="002F4565">
        <w:rPr>
          <w:vertAlign w:val="superscript"/>
          <w:lang w:val="pt-BR"/>
        </w:rPr>
        <w:t>68</w:t>
      </w:r>
      <w:r w:rsidRPr="002F4565">
        <w:rPr>
          <w:lang w:val="pt-BR"/>
        </w:rPr>
        <w:t xml:space="preserve"> </w:t>
      </w:r>
      <w:r w:rsidR="008B5E2A" w:rsidRPr="002F4565">
        <w:rPr>
          <w:lang w:val="pt-BR"/>
        </w:rPr>
        <w:t xml:space="preserve">Estes </w:t>
      </w:r>
      <w:r w:rsidRPr="002F4565">
        <w:rPr>
          <w:lang w:val="pt-BR"/>
        </w:rPr>
        <w:t>problem</w:t>
      </w:r>
      <w:r w:rsidR="008B5E2A" w:rsidRPr="002F4565">
        <w:rPr>
          <w:lang w:val="pt-BR"/>
        </w:rPr>
        <w:t>a</w:t>
      </w:r>
      <w:r w:rsidRPr="002F4565">
        <w:rPr>
          <w:lang w:val="pt-BR"/>
        </w:rPr>
        <w:t xml:space="preserve">s </w:t>
      </w:r>
      <w:r w:rsidR="008B5E2A" w:rsidRPr="002F4565">
        <w:rPr>
          <w:lang w:val="pt-BR"/>
        </w:rPr>
        <w:t>tendem a se agravar pelas barreiras geográficas das comunidades rurais remotas</w:t>
      </w:r>
      <w:r w:rsidRPr="002F4565">
        <w:rPr>
          <w:lang w:val="pt-BR"/>
        </w:rPr>
        <w:t xml:space="preserve">, </w:t>
      </w:r>
      <w:r w:rsidR="008B5E2A" w:rsidRPr="002F4565">
        <w:rPr>
          <w:lang w:val="pt-BR"/>
        </w:rPr>
        <w:t xml:space="preserve">favelas urbanas mal atendidas </w:t>
      </w:r>
      <w:r w:rsidR="003F41C2" w:rsidRPr="002F4565">
        <w:rPr>
          <w:lang w:val="pt-BR"/>
        </w:rPr>
        <w:t>ou</w:t>
      </w:r>
      <w:r w:rsidRPr="002F4565">
        <w:rPr>
          <w:lang w:val="pt-BR"/>
        </w:rPr>
        <w:t xml:space="preserve"> </w:t>
      </w:r>
      <w:r w:rsidR="00ED67D7" w:rsidRPr="002F4565">
        <w:rPr>
          <w:lang w:val="pt-BR"/>
        </w:rPr>
        <w:t xml:space="preserve">regiões </w:t>
      </w:r>
      <w:r w:rsidR="008B5E2A" w:rsidRPr="002F4565">
        <w:rPr>
          <w:lang w:val="pt-BR"/>
        </w:rPr>
        <w:t xml:space="preserve">em que o </w:t>
      </w:r>
      <w:r w:rsidRPr="002F4565">
        <w:rPr>
          <w:lang w:val="pt-BR"/>
        </w:rPr>
        <w:t>transport</w:t>
      </w:r>
      <w:r w:rsidR="008B5E2A" w:rsidRPr="002F4565">
        <w:rPr>
          <w:lang w:val="pt-BR"/>
        </w:rPr>
        <w:t>e</w:t>
      </w:r>
      <w:r w:rsidRPr="002F4565">
        <w:rPr>
          <w:lang w:val="pt-BR"/>
        </w:rPr>
        <w:t xml:space="preserve"> </w:t>
      </w:r>
      <w:r w:rsidR="00261A8A" w:rsidRPr="002F4565">
        <w:rPr>
          <w:lang w:val="pt-BR"/>
        </w:rPr>
        <w:t>entre</w:t>
      </w:r>
      <w:r w:rsidRPr="002F4565">
        <w:rPr>
          <w:lang w:val="pt-BR"/>
        </w:rPr>
        <w:t xml:space="preserve"> </w:t>
      </w:r>
      <w:r w:rsidR="008B5E2A" w:rsidRPr="002F4565">
        <w:rPr>
          <w:lang w:val="pt-BR"/>
        </w:rPr>
        <w:t xml:space="preserve">as áreas de menor e maior renda </w:t>
      </w:r>
      <w:r w:rsidR="005A25F5" w:rsidRPr="002F4565">
        <w:rPr>
          <w:lang w:val="pt-BR"/>
        </w:rPr>
        <w:t>é</w:t>
      </w:r>
      <w:r w:rsidRPr="002F4565">
        <w:rPr>
          <w:lang w:val="pt-BR"/>
        </w:rPr>
        <w:t xml:space="preserve"> </w:t>
      </w:r>
      <w:r w:rsidR="008B5E2A" w:rsidRPr="002F4565">
        <w:rPr>
          <w:lang w:val="pt-BR"/>
        </w:rPr>
        <w:t>insatisfatório</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45. </w:t>
      </w:r>
      <w:r w:rsidR="0022418F" w:rsidRPr="002F4565">
        <w:rPr>
          <w:lang w:val="pt-BR"/>
        </w:rPr>
        <w:t xml:space="preserve">As dietas inadequadas tendem a gerar </w:t>
      </w:r>
      <w:r w:rsidRPr="002F4565">
        <w:rPr>
          <w:lang w:val="pt-BR"/>
        </w:rPr>
        <w:t>consequ</w:t>
      </w:r>
      <w:r w:rsidR="007E67D2" w:rsidRPr="002F4565">
        <w:rPr>
          <w:lang w:val="pt-BR"/>
        </w:rPr>
        <w:t>ência</w:t>
      </w:r>
      <w:r w:rsidRPr="002F4565">
        <w:rPr>
          <w:lang w:val="pt-BR"/>
        </w:rPr>
        <w:t xml:space="preserve">s </w:t>
      </w:r>
      <w:r w:rsidR="00ED67D7" w:rsidRPr="002F4565">
        <w:rPr>
          <w:lang w:val="pt-BR"/>
        </w:rPr>
        <w:t xml:space="preserve">mais graves </w:t>
      </w:r>
      <w:r w:rsidR="0022418F" w:rsidRPr="002F4565">
        <w:rPr>
          <w:lang w:val="pt-BR"/>
        </w:rPr>
        <w:t xml:space="preserve">para as pessoas de </w:t>
      </w:r>
      <w:r w:rsidR="00802E44" w:rsidRPr="002F4565">
        <w:rPr>
          <w:lang w:val="pt-BR"/>
        </w:rPr>
        <w:t>baixa renda</w:t>
      </w:r>
      <w:r w:rsidRPr="002F4565">
        <w:rPr>
          <w:lang w:val="pt-BR"/>
        </w:rPr>
        <w:t xml:space="preserve"> </w:t>
      </w:r>
      <w:r w:rsidR="0022418F" w:rsidRPr="002F4565">
        <w:rPr>
          <w:lang w:val="pt-BR"/>
        </w:rPr>
        <w:t xml:space="preserve">do que para </w:t>
      </w:r>
      <w:r w:rsidR="003F41C2" w:rsidRPr="002F4565">
        <w:rPr>
          <w:lang w:val="pt-BR"/>
        </w:rPr>
        <w:t>outros</w:t>
      </w:r>
      <w:r w:rsidRPr="002F4565">
        <w:rPr>
          <w:lang w:val="pt-BR"/>
        </w:rPr>
        <w:t xml:space="preserve"> </w:t>
      </w:r>
      <w:r w:rsidR="00802E44" w:rsidRPr="002F4565">
        <w:rPr>
          <w:lang w:val="pt-BR"/>
        </w:rPr>
        <w:t>grupos</w:t>
      </w:r>
      <w:r w:rsidRPr="002F4565">
        <w:rPr>
          <w:lang w:val="pt-BR"/>
        </w:rPr>
        <w:t xml:space="preserve">. </w:t>
      </w:r>
      <w:r w:rsidR="0022418F" w:rsidRPr="002F4565">
        <w:rPr>
          <w:lang w:val="pt-BR"/>
        </w:rPr>
        <w:t>A sub</w:t>
      </w:r>
      <w:r w:rsidR="003F41C2" w:rsidRPr="002F4565">
        <w:rPr>
          <w:lang w:val="pt-BR"/>
        </w:rPr>
        <w:t>nutrição</w:t>
      </w:r>
      <w:r w:rsidRPr="002F4565">
        <w:rPr>
          <w:lang w:val="pt-BR"/>
        </w:rPr>
        <w:t xml:space="preserve"> </w:t>
      </w:r>
      <w:r w:rsidR="0022418F" w:rsidRPr="002F4565">
        <w:rPr>
          <w:lang w:val="pt-BR"/>
        </w:rPr>
        <w:t xml:space="preserve">no início da vida pode levar </w:t>
      </w:r>
      <w:r w:rsidR="00ED67D7" w:rsidRPr="002F4565">
        <w:rPr>
          <w:lang w:val="pt-BR"/>
        </w:rPr>
        <w:t>à</w:t>
      </w:r>
      <w:r w:rsidR="0022418F" w:rsidRPr="002F4565">
        <w:rPr>
          <w:lang w:val="pt-BR"/>
        </w:rPr>
        <w:t xml:space="preserve"> maior </w:t>
      </w:r>
      <w:r w:rsidRPr="002F4565">
        <w:rPr>
          <w:lang w:val="pt-BR"/>
        </w:rPr>
        <w:t>proba</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40430A" w:rsidRPr="002F4565">
        <w:rPr>
          <w:lang w:val="pt-BR"/>
        </w:rPr>
        <w:t>obesidade</w:t>
      </w:r>
      <w:r w:rsidRPr="002F4565">
        <w:rPr>
          <w:lang w:val="pt-BR"/>
        </w:rPr>
        <w:t xml:space="preserve"> </w:t>
      </w:r>
      <w:r w:rsidR="00ED67D7" w:rsidRPr="002F4565">
        <w:rPr>
          <w:lang w:val="pt-BR"/>
        </w:rPr>
        <w:t xml:space="preserve">posteriormente </w:t>
      </w:r>
      <w:r w:rsidR="0022418F" w:rsidRPr="002F4565">
        <w:rPr>
          <w:lang w:val="pt-BR"/>
        </w:rPr>
        <w:t xml:space="preserve">na vida devido à resposta de </w:t>
      </w:r>
      <w:r w:rsidRPr="002F4565">
        <w:rPr>
          <w:lang w:val="pt-BR"/>
        </w:rPr>
        <w:t>“</w:t>
      </w:r>
      <w:r w:rsidR="0022418F" w:rsidRPr="002F4565">
        <w:rPr>
          <w:lang w:val="pt-BR"/>
        </w:rPr>
        <w:t xml:space="preserve">abundância </w:t>
      </w:r>
      <w:r w:rsidR="003F41C2" w:rsidRPr="002F4565">
        <w:rPr>
          <w:lang w:val="pt-BR"/>
        </w:rPr>
        <w:t>ou</w:t>
      </w:r>
      <w:r w:rsidRPr="002F4565">
        <w:rPr>
          <w:lang w:val="pt-BR"/>
        </w:rPr>
        <w:t xml:space="preserve"> </w:t>
      </w:r>
      <w:r w:rsidR="0022418F" w:rsidRPr="002F4565">
        <w:rPr>
          <w:lang w:val="pt-BR"/>
        </w:rPr>
        <w:t>escassez</w:t>
      </w:r>
      <w:r w:rsidRPr="002F4565">
        <w:rPr>
          <w:lang w:val="pt-BR"/>
        </w:rPr>
        <w:t>”</w:t>
      </w:r>
      <w:r w:rsidR="00ED67D7" w:rsidRPr="002F4565">
        <w:rPr>
          <w:lang w:val="pt-BR"/>
        </w:rPr>
        <w:t>,</w:t>
      </w:r>
      <w:r w:rsidRPr="002F4565">
        <w:rPr>
          <w:lang w:val="pt-BR"/>
        </w:rPr>
        <w:t xml:space="preserve"> </w:t>
      </w:r>
      <w:r w:rsidR="006A31E1" w:rsidRPr="002F4565">
        <w:rPr>
          <w:lang w:val="pt-BR"/>
        </w:rPr>
        <w:t>que</w:t>
      </w:r>
      <w:r w:rsidRPr="002F4565">
        <w:rPr>
          <w:lang w:val="pt-BR"/>
        </w:rPr>
        <w:t xml:space="preserve"> </w:t>
      </w:r>
      <w:r w:rsidR="0022418F" w:rsidRPr="002F4565">
        <w:rPr>
          <w:lang w:val="pt-BR"/>
        </w:rPr>
        <w:t xml:space="preserve">faz que o corpo acumule </w:t>
      </w:r>
      <w:r w:rsidR="001730DC" w:rsidRPr="002F4565">
        <w:rPr>
          <w:lang w:val="pt-BR"/>
        </w:rPr>
        <w:t>gordura</w:t>
      </w:r>
      <w:r w:rsidRPr="002F4565">
        <w:rPr>
          <w:lang w:val="pt-BR"/>
        </w:rPr>
        <w:t xml:space="preserve"> </w:t>
      </w:r>
      <w:r w:rsidR="0022418F" w:rsidRPr="002F4565">
        <w:rPr>
          <w:lang w:val="pt-BR"/>
        </w:rPr>
        <w:t xml:space="preserve">quando </w:t>
      </w:r>
      <w:proofErr w:type="gramStart"/>
      <w:r w:rsidR="00B5729E" w:rsidRPr="002F4565">
        <w:rPr>
          <w:lang w:val="pt-BR"/>
        </w:rPr>
        <w:t>disponíve</w:t>
      </w:r>
      <w:r w:rsidR="0022418F" w:rsidRPr="002F4565">
        <w:rPr>
          <w:lang w:val="pt-BR"/>
        </w:rPr>
        <w:t>l</w:t>
      </w:r>
      <w:r w:rsidRPr="002F4565">
        <w:rPr>
          <w:lang w:val="pt-BR"/>
        </w:rPr>
        <w:t>.</w:t>
      </w:r>
      <w:proofErr w:type="gramEnd"/>
      <w:r w:rsidRPr="002F4565">
        <w:rPr>
          <w:vertAlign w:val="superscript"/>
          <w:lang w:val="pt-BR"/>
        </w:rPr>
        <w:t>69</w:t>
      </w:r>
      <w:r w:rsidRPr="002F4565">
        <w:rPr>
          <w:lang w:val="pt-BR"/>
        </w:rPr>
        <w:t xml:space="preserve"> </w:t>
      </w:r>
    </w:p>
    <w:p w:rsidR="00115B91" w:rsidRPr="002F4565" w:rsidRDefault="006A31E1" w:rsidP="0051636A">
      <w:pPr>
        <w:spacing w:before="120" w:after="0" w:line="240" w:lineRule="auto"/>
        <w:rPr>
          <w:lang w:val="pt-BR"/>
        </w:rPr>
      </w:pPr>
      <w:r w:rsidRPr="002F4565">
        <w:rPr>
          <w:lang w:val="pt-BR"/>
        </w:rPr>
        <w:t>Esta</w:t>
      </w:r>
      <w:r w:rsidR="00115B91" w:rsidRPr="002F4565">
        <w:rPr>
          <w:lang w:val="pt-BR"/>
        </w:rPr>
        <w:t xml:space="preserve"> combin</w:t>
      </w:r>
      <w:r w:rsidR="00F21F55" w:rsidRPr="002F4565">
        <w:rPr>
          <w:lang w:val="pt-BR"/>
        </w:rPr>
        <w:t>ação</w:t>
      </w:r>
      <w:r w:rsidR="00115B91" w:rsidRPr="002F4565">
        <w:rPr>
          <w:lang w:val="pt-BR"/>
        </w:rPr>
        <w:t xml:space="preserve"> </w:t>
      </w:r>
      <w:r w:rsidR="0049090C" w:rsidRPr="002F4565">
        <w:rPr>
          <w:lang w:val="pt-BR"/>
        </w:rPr>
        <w:t>de</w:t>
      </w:r>
      <w:r w:rsidR="00115B91" w:rsidRPr="002F4565">
        <w:rPr>
          <w:lang w:val="pt-BR"/>
        </w:rPr>
        <w:t xml:space="preserve"> </w:t>
      </w:r>
      <w:r w:rsidR="0022418F" w:rsidRPr="002F4565">
        <w:rPr>
          <w:lang w:val="pt-BR"/>
        </w:rPr>
        <w:t xml:space="preserve">falta </w:t>
      </w:r>
      <w:r w:rsidR="0049090C" w:rsidRPr="002F4565">
        <w:rPr>
          <w:lang w:val="pt-BR"/>
        </w:rPr>
        <w:t>de</w:t>
      </w:r>
      <w:r w:rsidR="00115B91" w:rsidRPr="002F4565">
        <w:rPr>
          <w:lang w:val="pt-BR"/>
        </w:rPr>
        <w:t xml:space="preserve"> </w:t>
      </w:r>
      <w:r w:rsidR="006053D7" w:rsidRPr="002F4565">
        <w:rPr>
          <w:lang w:val="pt-BR"/>
        </w:rPr>
        <w:t>segurança alimentar</w:t>
      </w:r>
      <w:r w:rsidR="00115B91" w:rsidRPr="002F4565">
        <w:rPr>
          <w:lang w:val="pt-BR"/>
        </w:rPr>
        <w:t xml:space="preserve"> </w:t>
      </w:r>
      <w:r w:rsidR="003F41C2" w:rsidRPr="002F4565">
        <w:rPr>
          <w:lang w:val="pt-BR"/>
        </w:rPr>
        <w:t>ou</w:t>
      </w:r>
      <w:r w:rsidR="00115B91" w:rsidRPr="002F4565">
        <w:rPr>
          <w:lang w:val="pt-BR"/>
        </w:rPr>
        <w:t xml:space="preserve"> </w:t>
      </w:r>
      <w:r w:rsidRPr="002F4565">
        <w:rPr>
          <w:lang w:val="pt-BR"/>
        </w:rPr>
        <w:t>fome</w:t>
      </w:r>
      <w:r w:rsidR="00115B91" w:rsidRPr="002F4565">
        <w:rPr>
          <w:lang w:val="pt-BR"/>
        </w:rPr>
        <w:t xml:space="preserve"> </w:t>
      </w:r>
      <w:r w:rsidR="00F21F55" w:rsidRPr="002F4565">
        <w:rPr>
          <w:lang w:val="pt-BR"/>
        </w:rPr>
        <w:t>com</w:t>
      </w:r>
      <w:r w:rsidR="00115B91" w:rsidRPr="002F4565">
        <w:rPr>
          <w:lang w:val="pt-BR"/>
        </w:rPr>
        <w:t xml:space="preserve"> </w:t>
      </w:r>
      <w:r w:rsidR="0022418F" w:rsidRPr="002F4565">
        <w:rPr>
          <w:lang w:val="pt-BR"/>
        </w:rPr>
        <w:t xml:space="preserve">a pronta </w:t>
      </w:r>
      <w:r w:rsidR="0049090C" w:rsidRPr="002F4565">
        <w:rPr>
          <w:lang w:val="pt-BR"/>
        </w:rPr>
        <w:t>disponibilidade</w:t>
      </w:r>
      <w:r w:rsidR="00115B91" w:rsidRPr="002F4565">
        <w:rPr>
          <w:lang w:val="pt-BR"/>
        </w:rPr>
        <w:t xml:space="preserve"> </w:t>
      </w:r>
      <w:r w:rsidR="0049090C" w:rsidRPr="002F4565">
        <w:rPr>
          <w:lang w:val="pt-BR"/>
        </w:rPr>
        <w:t>de</w:t>
      </w:r>
      <w:r w:rsidR="00115B91" w:rsidRPr="002F4565">
        <w:rPr>
          <w:lang w:val="pt-BR"/>
        </w:rPr>
        <w:t xml:space="preserve"> </w:t>
      </w:r>
      <w:r w:rsidR="00261A8A" w:rsidRPr="002F4565">
        <w:rPr>
          <w:lang w:val="pt-BR"/>
        </w:rPr>
        <w:t>alimentos</w:t>
      </w:r>
      <w:r w:rsidR="00115B91" w:rsidRPr="002F4565">
        <w:rPr>
          <w:lang w:val="pt-BR"/>
        </w:rPr>
        <w:t xml:space="preserve"> </w:t>
      </w:r>
      <w:r w:rsidR="0022418F" w:rsidRPr="002F4565">
        <w:rPr>
          <w:lang w:val="pt-BR"/>
        </w:rPr>
        <w:t xml:space="preserve">altamente calóricos coloca muitas comunidades de </w:t>
      </w:r>
      <w:r w:rsidR="00802E44" w:rsidRPr="002F4565">
        <w:rPr>
          <w:lang w:val="pt-BR"/>
        </w:rPr>
        <w:t>baixa renda</w:t>
      </w:r>
      <w:r w:rsidR="00115B91" w:rsidRPr="002F4565">
        <w:rPr>
          <w:lang w:val="pt-BR"/>
        </w:rPr>
        <w:t xml:space="preserve"> </w:t>
      </w:r>
      <w:r w:rsidR="0022418F" w:rsidRPr="002F4565">
        <w:rPr>
          <w:lang w:val="pt-BR"/>
        </w:rPr>
        <w:t xml:space="preserve">em </w:t>
      </w:r>
      <w:r w:rsidRPr="002F4565">
        <w:rPr>
          <w:lang w:val="pt-BR"/>
        </w:rPr>
        <w:t>risco</w:t>
      </w:r>
      <w:r w:rsidR="00115B91" w:rsidRPr="002F4565">
        <w:rPr>
          <w:lang w:val="pt-BR"/>
        </w:rPr>
        <w:t xml:space="preserve"> </w:t>
      </w:r>
      <w:r w:rsidR="0022418F" w:rsidRPr="002F4565">
        <w:rPr>
          <w:lang w:val="pt-BR"/>
        </w:rPr>
        <w:t xml:space="preserve">particular </w:t>
      </w:r>
      <w:r w:rsidR="0049090C" w:rsidRPr="002F4565">
        <w:rPr>
          <w:lang w:val="pt-BR"/>
        </w:rPr>
        <w:t>de</w:t>
      </w:r>
      <w:r w:rsidR="00115B91" w:rsidRPr="002F4565">
        <w:rPr>
          <w:lang w:val="pt-BR"/>
        </w:rPr>
        <w:t xml:space="preserve"> </w:t>
      </w:r>
      <w:r w:rsidR="0049090C" w:rsidRPr="002F4565">
        <w:rPr>
          <w:lang w:val="pt-BR"/>
        </w:rPr>
        <w:t>DNT</w:t>
      </w:r>
      <w:r w:rsidR="00115B91" w:rsidRPr="002F4565">
        <w:rPr>
          <w:lang w:val="pt-BR"/>
        </w:rPr>
        <w:t xml:space="preserve">s, </w:t>
      </w:r>
      <w:r w:rsidR="0022418F" w:rsidRPr="002F4565">
        <w:rPr>
          <w:lang w:val="pt-BR"/>
        </w:rPr>
        <w:t xml:space="preserve">em comparação como os </w:t>
      </w:r>
      <w:r w:rsidR="00802E44" w:rsidRPr="002F4565">
        <w:rPr>
          <w:lang w:val="pt-BR"/>
        </w:rPr>
        <w:t>grupos</w:t>
      </w:r>
      <w:r w:rsidR="0022418F" w:rsidRPr="002F4565">
        <w:rPr>
          <w:lang w:val="pt-BR"/>
        </w:rPr>
        <w:t xml:space="preserve"> de renda mais elevada</w:t>
      </w:r>
      <w:r w:rsidR="00115B91" w:rsidRPr="002F4565">
        <w:rPr>
          <w:lang w:val="pt-BR"/>
        </w:rPr>
        <w:t xml:space="preserve">. </w:t>
      </w:r>
      <w:r w:rsidR="0022418F" w:rsidRPr="002F4565">
        <w:rPr>
          <w:lang w:val="pt-BR"/>
        </w:rPr>
        <w:t>Fatores psicológicos como o estresse</w:t>
      </w:r>
      <w:r w:rsidR="00115B91" w:rsidRPr="002F4565">
        <w:rPr>
          <w:lang w:val="pt-BR"/>
        </w:rPr>
        <w:t xml:space="preserve">, </w:t>
      </w:r>
      <w:r w:rsidR="0022418F" w:rsidRPr="002F4565">
        <w:rPr>
          <w:lang w:val="pt-BR"/>
        </w:rPr>
        <w:t xml:space="preserve">maiores </w:t>
      </w:r>
      <w:r w:rsidR="00115B91" w:rsidRPr="002F4565">
        <w:rPr>
          <w:lang w:val="pt-BR"/>
        </w:rPr>
        <w:t>incid</w:t>
      </w:r>
      <w:r w:rsidR="007E67D2" w:rsidRPr="002F4565">
        <w:rPr>
          <w:lang w:val="pt-BR"/>
        </w:rPr>
        <w:t>ência</w:t>
      </w:r>
      <w:r w:rsidR="00115B91" w:rsidRPr="002F4565">
        <w:rPr>
          <w:lang w:val="pt-BR"/>
        </w:rPr>
        <w:t xml:space="preserve">s </w:t>
      </w:r>
      <w:r w:rsidR="0049090C" w:rsidRPr="002F4565">
        <w:rPr>
          <w:lang w:val="pt-BR"/>
        </w:rPr>
        <w:t>de</w:t>
      </w:r>
      <w:r w:rsidR="00115B91" w:rsidRPr="002F4565">
        <w:rPr>
          <w:lang w:val="pt-BR"/>
        </w:rPr>
        <w:t xml:space="preserve"> </w:t>
      </w:r>
      <w:r w:rsidR="003F41C2" w:rsidRPr="002F4565">
        <w:rPr>
          <w:lang w:val="pt-BR"/>
        </w:rPr>
        <w:t>outros</w:t>
      </w:r>
      <w:r w:rsidR="00115B91" w:rsidRPr="002F4565">
        <w:rPr>
          <w:lang w:val="pt-BR"/>
        </w:rPr>
        <w:t xml:space="preserve"> </w:t>
      </w:r>
      <w:r w:rsidRPr="002F4565">
        <w:rPr>
          <w:lang w:val="pt-BR"/>
        </w:rPr>
        <w:t>fatores de risco</w:t>
      </w:r>
      <w:r w:rsidR="00115B91" w:rsidRPr="002F4565">
        <w:rPr>
          <w:lang w:val="pt-BR"/>
        </w:rPr>
        <w:t xml:space="preserve"> </w:t>
      </w:r>
      <w:r w:rsidR="0022418F" w:rsidRPr="002F4565">
        <w:rPr>
          <w:lang w:val="pt-BR"/>
        </w:rPr>
        <w:t>de DNT</w:t>
      </w:r>
      <w:r w:rsidR="00ED67D7" w:rsidRPr="002F4565">
        <w:rPr>
          <w:lang w:val="pt-BR"/>
        </w:rPr>
        <w:t>s</w:t>
      </w:r>
      <w:r w:rsidR="0022418F" w:rsidRPr="002F4565">
        <w:rPr>
          <w:lang w:val="pt-BR"/>
        </w:rPr>
        <w:t xml:space="preserve"> </w:t>
      </w:r>
      <w:r w:rsidR="0049090C" w:rsidRPr="002F4565">
        <w:rPr>
          <w:lang w:val="pt-BR"/>
        </w:rPr>
        <w:t>e</w:t>
      </w:r>
      <w:r w:rsidR="00115B91" w:rsidRPr="002F4565">
        <w:rPr>
          <w:lang w:val="pt-BR"/>
        </w:rPr>
        <w:t xml:space="preserve"> </w:t>
      </w:r>
      <w:r w:rsidR="0022418F" w:rsidRPr="002F4565">
        <w:rPr>
          <w:lang w:val="pt-BR"/>
        </w:rPr>
        <w:t xml:space="preserve">menor </w:t>
      </w:r>
      <w:r w:rsidRPr="002F4565">
        <w:rPr>
          <w:lang w:val="pt-BR"/>
        </w:rPr>
        <w:t>acesso</w:t>
      </w:r>
      <w:r w:rsidR="00115B91" w:rsidRPr="002F4565">
        <w:rPr>
          <w:lang w:val="pt-BR"/>
        </w:rPr>
        <w:t xml:space="preserve"> </w:t>
      </w:r>
      <w:r w:rsidR="0022418F" w:rsidRPr="002F4565">
        <w:rPr>
          <w:lang w:val="pt-BR"/>
        </w:rPr>
        <w:t>a</w:t>
      </w:r>
      <w:r w:rsidR="00ED67D7" w:rsidRPr="002F4565">
        <w:rPr>
          <w:lang w:val="pt-BR"/>
        </w:rPr>
        <w:t xml:space="preserve">o atendimento </w:t>
      </w:r>
      <w:r w:rsidR="0022418F" w:rsidRPr="002F4565">
        <w:rPr>
          <w:lang w:val="pt-BR"/>
        </w:rPr>
        <w:t xml:space="preserve">preventivo </w:t>
      </w:r>
      <w:r w:rsidR="00F21F55" w:rsidRPr="002F4565">
        <w:rPr>
          <w:lang w:val="pt-BR"/>
        </w:rPr>
        <w:t>também</w:t>
      </w:r>
      <w:r w:rsidR="00115B91" w:rsidRPr="002F4565">
        <w:rPr>
          <w:lang w:val="pt-BR"/>
        </w:rPr>
        <w:t xml:space="preserve"> </w:t>
      </w:r>
      <w:r w:rsidR="0022418F" w:rsidRPr="002F4565">
        <w:rPr>
          <w:lang w:val="pt-BR"/>
        </w:rPr>
        <w:t xml:space="preserve">podem </w:t>
      </w:r>
      <w:r w:rsidR="00ED67D7" w:rsidRPr="002F4565">
        <w:rPr>
          <w:lang w:val="pt-BR"/>
        </w:rPr>
        <w:t xml:space="preserve">elevar </w:t>
      </w:r>
      <w:r w:rsidR="0022418F" w:rsidRPr="002F4565">
        <w:rPr>
          <w:lang w:val="pt-BR"/>
        </w:rPr>
        <w:t xml:space="preserve">os </w:t>
      </w:r>
      <w:r w:rsidR="00F21F55" w:rsidRPr="002F4565">
        <w:rPr>
          <w:lang w:val="pt-BR"/>
        </w:rPr>
        <w:t>riscos</w:t>
      </w:r>
      <w:r w:rsidR="00115B91" w:rsidRPr="002F4565">
        <w:rPr>
          <w:lang w:val="pt-BR"/>
        </w:rPr>
        <w:t xml:space="preserve"> </w:t>
      </w:r>
      <w:r w:rsidR="0049090C" w:rsidRPr="002F4565">
        <w:rPr>
          <w:lang w:val="pt-BR"/>
        </w:rPr>
        <w:t>de</w:t>
      </w:r>
      <w:r w:rsidR="00115B91" w:rsidRPr="002F4565">
        <w:rPr>
          <w:lang w:val="pt-BR"/>
        </w:rPr>
        <w:t xml:space="preserve"> </w:t>
      </w:r>
      <w:r w:rsidR="0049090C" w:rsidRPr="002F4565">
        <w:rPr>
          <w:lang w:val="pt-BR"/>
        </w:rPr>
        <w:t>doenças</w:t>
      </w:r>
      <w:r w:rsidR="00115B91" w:rsidRPr="002F4565">
        <w:rPr>
          <w:lang w:val="pt-BR"/>
        </w:rPr>
        <w:t xml:space="preserve"> </w:t>
      </w:r>
      <w:r w:rsidR="0022418F" w:rsidRPr="002F4565">
        <w:rPr>
          <w:lang w:val="pt-BR"/>
        </w:rPr>
        <w:t xml:space="preserve">relacionadas com a dieta como o </w:t>
      </w:r>
      <w:r w:rsidR="00115B91" w:rsidRPr="002F4565">
        <w:rPr>
          <w:lang w:val="pt-BR"/>
        </w:rPr>
        <w:t xml:space="preserve">diabetes, </w:t>
      </w:r>
      <w:r w:rsidR="0022418F" w:rsidRPr="002F4565">
        <w:rPr>
          <w:lang w:val="pt-BR"/>
        </w:rPr>
        <w:t xml:space="preserve">doenças cardíacas </w:t>
      </w:r>
      <w:r w:rsidR="0049090C" w:rsidRPr="002F4565">
        <w:rPr>
          <w:lang w:val="pt-BR"/>
        </w:rPr>
        <w:t>e</w:t>
      </w:r>
      <w:r w:rsidR="00115B91" w:rsidRPr="002F4565">
        <w:rPr>
          <w:lang w:val="pt-BR"/>
        </w:rPr>
        <w:t xml:space="preserve"> h</w:t>
      </w:r>
      <w:r w:rsidR="0022418F" w:rsidRPr="002F4565">
        <w:rPr>
          <w:lang w:val="pt-BR"/>
        </w:rPr>
        <w:t>i</w:t>
      </w:r>
      <w:r w:rsidR="00115B91" w:rsidRPr="002F4565">
        <w:rPr>
          <w:lang w:val="pt-BR"/>
        </w:rPr>
        <w:t>pertens</w:t>
      </w:r>
      <w:r w:rsidR="0022418F" w:rsidRPr="002F4565">
        <w:rPr>
          <w:lang w:val="pt-BR"/>
        </w:rPr>
        <w:t xml:space="preserve">ão nos </w:t>
      </w:r>
      <w:r w:rsidR="00802E44" w:rsidRPr="002F4565">
        <w:rPr>
          <w:lang w:val="pt-BR"/>
        </w:rPr>
        <w:t xml:space="preserve">grupos de baixa </w:t>
      </w:r>
      <w:proofErr w:type="gramStart"/>
      <w:r w:rsidR="00802E44" w:rsidRPr="002F4565">
        <w:rPr>
          <w:lang w:val="pt-BR"/>
        </w:rPr>
        <w:t>renda</w:t>
      </w:r>
      <w:r w:rsidR="00115B91" w:rsidRPr="002F4565">
        <w:rPr>
          <w:lang w:val="pt-BR"/>
        </w:rPr>
        <w:t>.</w:t>
      </w:r>
      <w:proofErr w:type="gramEnd"/>
      <w:r w:rsidR="00115B91" w:rsidRPr="002F4565">
        <w:rPr>
          <w:vertAlign w:val="superscript"/>
          <w:lang w:val="pt-BR"/>
        </w:rPr>
        <w:t>70</w:t>
      </w:r>
      <w:r w:rsidR="00115B91" w:rsidRPr="002F4565">
        <w:rPr>
          <w:lang w:val="pt-BR"/>
        </w:rPr>
        <w:t xml:space="preserve"> </w:t>
      </w:r>
    </w:p>
    <w:p w:rsidR="00115B91" w:rsidRPr="002F4565" w:rsidRDefault="00115B91" w:rsidP="0051636A">
      <w:pPr>
        <w:spacing w:before="120" w:after="0" w:line="240" w:lineRule="auto"/>
        <w:rPr>
          <w:lang w:val="pt-BR"/>
        </w:rPr>
      </w:pPr>
      <w:r w:rsidRPr="002F4565">
        <w:rPr>
          <w:lang w:val="pt-BR"/>
        </w:rPr>
        <w:lastRenderedPageBreak/>
        <w:t xml:space="preserve">46. </w:t>
      </w:r>
      <w:r w:rsidR="0022418F" w:rsidRPr="002F4565">
        <w:rPr>
          <w:lang w:val="pt-BR"/>
        </w:rPr>
        <w:t xml:space="preserve">Ao combater as </w:t>
      </w:r>
      <w:r w:rsidR="0049090C" w:rsidRPr="002F4565">
        <w:rPr>
          <w:lang w:val="pt-BR"/>
        </w:rPr>
        <w:t>DNT</w:t>
      </w:r>
      <w:r w:rsidRPr="002F4565">
        <w:rPr>
          <w:lang w:val="pt-BR"/>
        </w:rPr>
        <w:t xml:space="preserve">s, </w:t>
      </w:r>
      <w:r w:rsidR="0022418F"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0022418F" w:rsidRPr="002F4565">
        <w:rPr>
          <w:lang w:val="pt-BR"/>
        </w:rPr>
        <w:t>,</w:t>
      </w:r>
      <w:r w:rsidRPr="002F4565">
        <w:rPr>
          <w:lang w:val="pt-BR"/>
        </w:rPr>
        <w:t xml:space="preserve"> </w:t>
      </w:r>
      <w:r w:rsidR="00FB4401" w:rsidRPr="002F4565">
        <w:rPr>
          <w:lang w:val="pt-BR"/>
        </w:rPr>
        <w:t>portanto</w:t>
      </w:r>
      <w:r w:rsidR="0022418F" w:rsidRPr="002F4565">
        <w:rPr>
          <w:lang w:val="pt-BR"/>
        </w:rPr>
        <w:t>,</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22418F" w:rsidRPr="002F4565">
        <w:rPr>
          <w:lang w:val="pt-BR"/>
        </w:rPr>
        <w:t xml:space="preserve">abordem as disparidades </w:t>
      </w:r>
      <w:r w:rsidRPr="002F4565">
        <w:rPr>
          <w:lang w:val="pt-BR"/>
        </w:rPr>
        <w:t>socio</w:t>
      </w:r>
      <w:r w:rsidR="005A25F5" w:rsidRPr="002F4565">
        <w:rPr>
          <w:lang w:val="pt-BR"/>
        </w:rPr>
        <w:t>econômic</w:t>
      </w:r>
      <w:r w:rsidR="0022418F" w:rsidRPr="002F4565">
        <w:rPr>
          <w:lang w:val="pt-BR"/>
        </w:rPr>
        <w:t>a</w:t>
      </w:r>
      <w:r w:rsidR="005A25F5" w:rsidRPr="002F4565">
        <w:rPr>
          <w:lang w:val="pt-BR"/>
        </w:rPr>
        <w:t>s</w:t>
      </w:r>
      <w:r w:rsidR="00ED67D7" w:rsidRPr="002F4565">
        <w:rPr>
          <w:lang w:val="pt-BR"/>
        </w:rPr>
        <w:t xml:space="preserve"> de maneira abrangente</w:t>
      </w:r>
      <w:r w:rsidRPr="002F4565">
        <w:rPr>
          <w:lang w:val="pt-BR"/>
        </w:rPr>
        <w:t xml:space="preserve">. </w:t>
      </w:r>
      <w:r w:rsidR="0022418F" w:rsidRPr="002F4565">
        <w:rPr>
          <w:lang w:val="pt-BR"/>
        </w:rPr>
        <w:t>D</w:t>
      </w:r>
      <w:r w:rsidR="002E1AA7" w:rsidRPr="002F4565">
        <w:rPr>
          <w:lang w:val="pt-BR"/>
        </w:rPr>
        <w:t>evem</w:t>
      </w:r>
      <w:r w:rsidR="0022418F"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22418F" w:rsidRPr="002F4565">
        <w:rPr>
          <w:lang w:val="pt-BR"/>
        </w:rPr>
        <w:t xml:space="preserve">os planos de segurança </w:t>
      </w:r>
      <w:r w:rsidR="0049090C" w:rsidRPr="002F4565">
        <w:rPr>
          <w:lang w:val="pt-BR"/>
        </w:rPr>
        <w:t>aliment</w:t>
      </w:r>
      <w:r w:rsidR="006053D7" w:rsidRPr="002F4565">
        <w:rPr>
          <w:lang w:val="pt-BR"/>
        </w:rPr>
        <w:t>ar</w:t>
      </w:r>
      <w:r w:rsidRPr="002F4565">
        <w:rPr>
          <w:lang w:val="pt-BR"/>
        </w:rPr>
        <w:t xml:space="preserve"> </w:t>
      </w:r>
      <w:r w:rsidR="003F41C2" w:rsidRPr="002F4565">
        <w:rPr>
          <w:lang w:val="pt-BR"/>
        </w:rPr>
        <w:t>ou</w:t>
      </w:r>
      <w:r w:rsidRPr="002F4565">
        <w:rPr>
          <w:lang w:val="pt-BR"/>
        </w:rPr>
        <w:t xml:space="preserve"> </w:t>
      </w:r>
      <w:r w:rsidR="0022418F" w:rsidRPr="002F4565">
        <w:rPr>
          <w:lang w:val="pt-BR"/>
        </w:rPr>
        <w:t xml:space="preserve">de </w:t>
      </w:r>
      <w:r w:rsidR="00F21F55" w:rsidRPr="002F4565">
        <w:rPr>
          <w:lang w:val="pt-BR"/>
        </w:rPr>
        <w:t>redução</w:t>
      </w:r>
      <w:r w:rsidRPr="002F4565">
        <w:rPr>
          <w:lang w:val="pt-BR"/>
        </w:rPr>
        <w:t xml:space="preserve"> </w:t>
      </w:r>
      <w:r w:rsidR="0022418F" w:rsidRPr="002F4565">
        <w:rPr>
          <w:lang w:val="pt-BR"/>
        </w:rPr>
        <w:t xml:space="preserve">da pobreza atendam à </w:t>
      </w:r>
      <w:r w:rsidR="0049090C" w:rsidRPr="002F4565">
        <w:rPr>
          <w:lang w:val="pt-BR"/>
        </w:rPr>
        <w:t>necessidade</w:t>
      </w:r>
      <w:r w:rsidRPr="002F4565">
        <w:rPr>
          <w:lang w:val="pt-BR"/>
        </w:rPr>
        <w:t xml:space="preserve"> </w:t>
      </w:r>
      <w:r w:rsidR="0022418F" w:rsidRPr="002F4565">
        <w:rPr>
          <w:lang w:val="pt-BR"/>
        </w:rPr>
        <w:t>de</w:t>
      </w:r>
      <w:r w:rsidRPr="002F4565">
        <w:rPr>
          <w:lang w:val="pt-BR"/>
        </w:rPr>
        <w:t xml:space="preserve"> </w:t>
      </w:r>
      <w:r w:rsidR="00F21F55" w:rsidRPr="002F4565">
        <w:rPr>
          <w:lang w:val="pt-BR"/>
        </w:rPr>
        <w:t>opções</w:t>
      </w:r>
      <w:r w:rsidR="0022418F" w:rsidRPr="002F4565">
        <w:rPr>
          <w:lang w:val="pt-BR"/>
        </w:rPr>
        <w:t xml:space="preserve"> de alimentos mais saudáveis</w:t>
      </w:r>
      <w:r w:rsidRPr="002F4565">
        <w:rPr>
          <w:lang w:val="pt-BR"/>
        </w:rPr>
        <w:t xml:space="preserve">. </w:t>
      </w:r>
      <w:r w:rsidR="0022418F" w:rsidRPr="002F4565">
        <w:rPr>
          <w:lang w:val="pt-BR"/>
        </w:rPr>
        <w:t>Poderiam assim proceder</w:t>
      </w:r>
      <w:r w:rsidRPr="002F4565">
        <w:rPr>
          <w:lang w:val="pt-BR"/>
        </w:rPr>
        <w:t xml:space="preserve">, </w:t>
      </w:r>
      <w:r w:rsidR="0022418F" w:rsidRPr="002F4565">
        <w:rPr>
          <w:lang w:val="pt-BR"/>
        </w:rPr>
        <w:t>p</w:t>
      </w:r>
      <w:r w:rsidR="007D3BE3" w:rsidRPr="002F4565">
        <w:rPr>
          <w:lang w:val="pt-BR"/>
        </w:rPr>
        <w:t>or exemplo</w:t>
      </w:r>
      <w:r w:rsidRPr="002F4565">
        <w:rPr>
          <w:lang w:val="pt-BR"/>
        </w:rPr>
        <w:t xml:space="preserve">, </w:t>
      </w:r>
      <w:r w:rsidR="0022418F" w:rsidRPr="002F4565">
        <w:rPr>
          <w:lang w:val="pt-BR"/>
        </w:rPr>
        <w:t xml:space="preserve">ao aumentar a </w:t>
      </w:r>
      <w:r w:rsidR="0049090C" w:rsidRPr="002F4565">
        <w:rPr>
          <w:lang w:val="pt-BR"/>
        </w:rPr>
        <w:t>disponibilidade</w:t>
      </w:r>
      <w:r w:rsidRPr="002F4565">
        <w:rPr>
          <w:lang w:val="pt-BR"/>
        </w:rPr>
        <w:t xml:space="preserve"> </w:t>
      </w:r>
      <w:r w:rsidR="0049090C" w:rsidRPr="002F4565">
        <w:rPr>
          <w:lang w:val="pt-BR"/>
        </w:rPr>
        <w:t>de</w:t>
      </w:r>
      <w:r w:rsidRPr="002F4565">
        <w:rPr>
          <w:lang w:val="pt-BR"/>
        </w:rPr>
        <w:t xml:space="preserve"> </w:t>
      </w:r>
      <w:r w:rsidR="00182B8E" w:rsidRPr="002F4565">
        <w:rPr>
          <w:lang w:val="pt-BR"/>
        </w:rPr>
        <w:t>fruta</w:t>
      </w:r>
      <w:r w:rsidRPr="002F4565">
        <w:rPr>
          <w:lang w:val="pt-BR"/>
        </w:rPr>
        <w:t xml:space="preserve">s </w:t>
      </w:r>
      <w:r w:rsidR="0049090C" w:rsidRPr="002F4565">
        <w:rPr>
          <w:lang w:val="pt-BR"/>
        </w:rPr>
        <w:t>e</w:t>
      </w:r>
      <w:r w:rsidRPr="002F4565">
        <w:rPr>
          <w:lang w:val="pt-BR"/>
        </w:rPr>
        <w:t xml:space="preserve"> </w:t>
      </w:r>
      <w:r w:rsidR="00182B8E" w:rsidRPr="002F4565">
        <w:rPr>
          <w:lang w:val="pt-BR"/>
        </w:rPr>
        <w:t>legumes</w:t>
      </w:r>
      <w:r w:rsidR="00ED67D7" w:rsidRPr="002F4565">
        <w:rPr>
          <w:lang w:val="pt-BR"/>
        </w:rPr>
        <w:t>,</w:t>
      </w:r>
      <w:r w:rsidRPr="002F4565">
        <w:rPr>
          <w:lang w:val="pt-BR"/>
        </w:rPr>
        <w:t xml:space="preserve"> </w:t>
      </w:r>
      <w:r w:rsidR="0022418F" w:rsidRPr="002F4565">
        <w:rPr>
          <w:lang w:val="pt-BR"/>
        </w:rPr>
        <w:t xml:space="preserve">de acordo com os </w:t>
      </w:r>
      <w:r w:rsidR="00ED67D7" w:rsidRPr="002F4565">
        <w:rPr>
          <w:lang w:val="pt-BR"/>
        </w:rPr>
        <w:t xml:space="preserve">planos </w:t>
      </w:r>
      <w:r w:rsidR="0022418F" w:rsidRPr="002F4565">
        <w:rPr>
          <w:lang w:val="pt-BR"/>
        </w:rPr>
        <w:t xml:space="preserve">de </w:t>
      </w:r>
      <w:r w:rsidR="006053D7" w:rsidRPr="002F4565">
        <w:rPr>
          <w:lang w:val="pt-BR"/>
        </w:rPr>
        <w:t>segurança alimentar</w:t>
      </w:r>
      <w:r w:rsidRPr="002F4565">
        <w:rPr>
          <w:lang w:val="pt-BR"/>
        </w:rPr>
        <w:t>, incentiv</w:t>
      </w:r>
      <w:r w:rsidR="0022418F" w:rsidRPr="002F4565">
        <w:rPr>
          <w:lang w:val="pt-BR"/>
        </w:rPr>
        <w:t xml:space="preserve">ando os varejistas de </w:t>
      </w:r>
      <w:r w:rsidR="0049090C" w:rsidRPr="002F4565">
        <w:rPr>
          <w:lang w:val="pt-BR"/>
        </w:rPr>
        <w:t>alimento</w:t>
      </w:r>
      <w:r w:rsidR="0022418F" w:rsidRPr="002F4565">
        <w:rPr>
          <w:lang w:val="pt-BR"/>
        </w:rPr>
        <w:t>s</w:t>
      </w:r>
      <w:r w:rsidRPr="002F4565">
        <w:rPr>
          <w:lang w:val="pt-BR"/>
        </w:rPr>
        <w:t xml:space="preserve"> </w:t>
      </w:r>
      <w:r w:rsidR="0022418F" w:rsidRPr="002F4565">
        <w:rPr>
          <w:lang w:val="pt-BR"/>
        </w:rPr>
        <w:t xml:space="preserve">a estocar </w:t>
      </w:r>
      <w:r w:rsidR="00FB4401" w:rsidRPr="002F4565">
        <w:rPr>
          <w:lang w:val="pt-BR"/>
        </w:rPr>
        <w:t>alimentos saudáveis</w:t>
      </w:r>
      <w:r w:rsidRPr="002F4565">
        <w:rPr>
          <w:lang w:val="pt-BR"/>
        </w:rPr>
        <w:t xml:space="preserve"> </w:t>
      </w:r>
      <w:r w:rsidR="00FB4DE4" w:rsidRPr="002F4565">
        <w:rPr>
          <w:lang w:val="pt-BR"/>
        </w:rPr>
        <w:t>em</w:t>
      </w:r>
      <w:r w:rsidRPr="002F4565">
        <w:rPr>
          <w:lang w:val="pt-BR"/>
        </w:rPr>
        <w:t xml:space="preserve"> </w:t>
      </w:r>
      <w:r w:rsidR="0022418F" w:rsidRPr="002F4565">
        <w:rPr>
          <w:lang w:val="pt-BR"/>
        </w:rPr>
        <w:t xml:space="preserve">bairros de </w:t>
      </w:r>
      <w:r w:rsidR="00802E44" w:rsidRPr="002F4565">
        <w:rPr>
          <w:lang w:val="pt-BR"/>
        </w:rPr>
        <w:t>baixa renda</w:t>
      </w:r>
      <w:r w:rsidRPr="002F4565">
        <w:rPr>
          <w:lang w:val="pt-BR"/>
        </w:rPr>
        <w:t xml:space="preserve"> </w:t>
      </w:r>
      <w:r w:rsidR="003F41C2" w:rsidRPr="002F4565">
        <w:rPr>
          <w:lang w:val="pt-BR"/>
        </w:rPr>
        <w:t>ou</w:t>
      </w:r>
      <w:r w:rsidRPr="002F4565">
        <w:rPr>
          <w:lang w:val="pt-BR"/>
        </w:rPr>
        <w:t xml:space="preserve"> </w:t>
      </w:r>
      <w:r w:rsidR="0022418F" w:rsidRPr="002F4565">
        <w:rPr>
          <w:lang w:val="pt-BR"/>
        </w:rPr>
        <w:t xml:space="preserve">melhorando o </w:t>
      </w:r>
      <w:r w:rsidRPr="002F4565">
        <w:rPr>
          <w:lang w:val="pt-BR"/>
        </w:rPr>
        <w:t>transport</w:t>
      </w:r>
      <w:r w:rsidR="0022418F" w:rsidRPr="002F4565">
        <w:rPr>
          <w:lang w:val="pt-BR"/>
        </w:rPr>
        <w:t>e</w:t>
      </w:r>
      <w:r w:rsidRPr="002F4565">
        <w:rPr>
          <w:lang w:val="pt-BR"/>
        </w:rPr>
        <w:t xml:space="preserve"> </w:t>
      </w:r>
      <w:r w:rsidR="0022418F" w:rsidRPr="002F4565">
        <w:rPr>
          <w:lang w:val="pt-BR"/>
        </w:rPr>
        <w:t xml:space="preserve">público para </w:t>
      </w:r>
      <w:r w:rsidR="007D4857" w:rsidRPr="002F4565">
        <w:rPr>
          <w:lang w:val="pt-BR"/>
        </w:rPr>
        <w:t>áreas</w:t>
      </w:r>
      <w:r w:rsidRPr="002F4565">
        <w:rPr>
          <w:lang w:val="pt-BR"/>
        </w:rPr>
        <w:t xml:space="preserve"> </w:t>
      </w:r>
      <w:r w:rsidR="0022418F" w:rsidRPr="002F4565">
        <w:rPr>
          <w:lang w:val="pt-BR"/>
        </w:rPr>
        <w:t xml:space="preserve">em que há </w:t>
      </w:r>
      <w:r w:rsidR="00FB4401" w:rsidRPr="002F4565">
        <w:rPr>
          <w:lang w:val="pt-BR"/>
        </w:rPr>
        <w:t>alimentos saudáveis</w:t>
      </w:r>
      <w:r w:rsidRPr="002F4565">
        <w:rPr>
          <w:lang w:val="pt-BR"/>
        </w:rPr>
        <w:t xml:space="preserve"> </w:t>
      </w:r>
      <w:r w:rsidR="00B5729E" w:rsidRPr="002F4565">
        <w:rPr>
          <w:lang w:val="pt-BR"/>
        </w:rPr>
        <w:t>disponíveis</w:t>
      </w:r>
      <w:r w:rsidRPr="002F4565">
        <w:rPr>
          <w:lang w:val="pt-BR"/>
        </w:rPr>
        <w:t xml:space="preserve">. </w:t>
      </w:r>
      <w:r w:rsidR="0022418F" w:rsidRPr="002F4565">
        <w:rPr>
          <w:lang w:val="pt-BR"/>
        </w:rPr>
        <w:t xml:space="preserve">Em </w:t>
      </w:r>
      <w:r w:rsidRPr="002F4565">
        <w:rPr>
          <w:lang w:val="pt-BR"/>
        </w:rPr>
        <w:t xml:space="preserve">particular, </w:t>
      </w:r>
      <w:r w:rsidR="0022418F" w:rsidRPr="002F4565">
        <w:rPr>
          <w:lang w:val="pt-BR"/>
        </w:rPr>
        <w:t xml:space="preserve">os programas sociais destinados a </w:t>
      </w:r>
      <w:r w:rsidR="00F21F55" w:rsidRPr="002F4565">
        <w:rPr>
          <w:lang w:val="pt-BR"/>
        </w:rPr>
        <w:t>garantir</w:t>
      </w:r>
      <w:r w:rsidRPr="002F4565">
        <w:rPr>
          <w:lang w:val="pt-BR"/>
        </w:rPr>
        <w:t xml:space="preserve"> </w:t>
      </w:r>
      <w:r w:rsidR="005A25F5" w:rsidRPr="002F4565">
        <w:rPr>
          <w:lang w:val="pt-BR"/>
        </w:rPr>
        <w:t>segurança</w:t>
      </w:r>
      <w:r w:rsidRPr="002F4565">
        <w:rPr>
          <w:lang w:val="pt-BR"/>
        </w:rPr>
        <w:t xml:space="preserve"> </w:t>
      </w:r>
      <w:r w:rsidR="0022418F" w:rsidRPr="002F4565">
        <w:rPr>
          <w:lang w:val="pt-BR"/>
        </w:rPr>
        <w:t xml:space="preserve">alimentar e nutricional </w:t>
      </w:r>
      <w:r w:rsidR="006053D7" w:rsidRPr="002F4565">
        <w:rPr>
          <w:lang w:val="pt-BR"/>
        </w:rPr>
        <w:t xml:space="preserve">podem ser uma ferramenta útil para melhorar a </w:t>
      </w:r>
      <w:r w:rsidR="0049090C" w:rsidRPr="002F4565">
        <w:rPr>
          <w:lang w:val="pt-BR"/>
        </w:rPr>
        <w:t>saúde</w:t>
      </w:r>
      <w:r w:rsidRPr="002F4565">
        <w:rPr>
          <w:lang w:val="pt-BR"/>
        </w:rPr>
        <w:t xml:space="preserve">, </w:t>
      </w:r>
      <w:r w:rsidR="006053D7" w:rsidRPr="002F4565">
        <w:rPr>
          <w:lang w:val="pt-BR"/>
        </w:rPr>
        <w:t xml:space="preserve">se forem </w:t>
      </w:r>
      <w:r w:rsidRPr="002F4565">
        <w:rPr>
          <w:lang w:val="pt-BR"/>
        </w:rPr>
        <w:t>suficient</w:t>
      </w:r>
      <w:r w:rsidR="006053D7" w:rsidRPr="002F4565">
        <w:rPr>
          <w:lang w:val="pt-BR"/>
        </w:rPr>
        <w:t xml:space="preserve">emente financiados para permitir a compra </w:t>
      </w:r>
      <w:r w:rsidR="0049090C" w:rsidRPr="002F4565">
        <w:rPr>
          <w:lang w:val="pt-BR"/>
        </w:rPr>
        <w:t>de</w:t>
      </w:r>
      <w:r w:rsidRPr="002F4565">
        <w:rPr>
          <w:lang w:val="pt-BR"/>
        </w:rPr>
        <w:t xml:space="preserve"> </w:t>
      </w:r>
      <w:r w:rsidR="00F21F55" w:rsidRPr="002F4565">
        <w:rPr>
          <w:lang w:val="pt-BR"/>
        </w:rPr>
        <w:t>opções</w:t>
      </w:r>
      <w:r w:rsidRPr="002F4565">
        <w:rPr>
          <w:lang w:val="pt-BR"/>
        </w:rPr>
        <w:t xml:space="preserve"> </w:t>
      </w:r>
      <w:r w:rsidR="006053D7" w:rsidRPr="002F4565">
        <w:rPr>
          <w:lang w:val="pt-BR"/>
        </w:rPr>
        <w:t xml:space="preserve">saudáveis </w:t>
      </w:r>
      <w:r w:rsidR="0049090C" w:rsidRPr="002F4565">
        <w:rPr>
          <w:lang w:val="pt-BR"/>
        </w:rPr>
        <w:t>e</w:t>
      </w:r>
      <w:r w:rsidRPr="002F4565">
        <w:rPr>
          <w:lang w:val="pt-BR"/>
        </w:rPr>
        <w:t xml:space="preserve"> </w:t>
      </w:r>
      <w:r w:rsidR="006053D7" w:rsidRPr="002F4565">
        <w:rPr>
          <w:lang w:val="pt-BR"/>
        </w:rPr>
        <w:t xml:space="preserve">forem </w:t>
      </w:r>
      <w:r w:rsidRPr="002F4565">
        <w:rPr>
          <w:lang w:val="pt-BR"/>
        </w:rPr>
        <w:t>combin</w:t>
      </w:r>
      <w:r w:rsidR="006053D7" w:rsidRPr="002F4565">
        <w:rPr>
          <w:lang w:val="pt-BR"/>
        </w:rPr>
        <w:t xml:space="preserve">ados </w:t>
      </w:r>
      <w:r w:rsidR="00F21F55" w:rsidRPr="002F4565">
        <w:rPr>
          <w:lang w:val="pt-BR"/>
        </w:rPr>
        <w:t>com</w:t>
      </w:r>
      <w:r w:rsidRPr="002F4565">
        <w:rPr>
          <w:lang w:val="pt-BR"/>
        </w:rPr>
        <w:t xml:space="preserve"> </w:t>
      </w:r>
      <w:r w:rsidR="006053D7" w:rsidRPr="002F4565">
        <w:rPr>
          <w:lang w:val="pt-BR"/>
        </w:rPr>
        <w:t xml:space="preserve">medidas apropriadas para </w:t>
      </w:r>
      <w:r w:rsidR="00ED67D7" w:rsidRPr="002F4565">
        <w:rPr>
          <w:lang w:val="pt-BR"/>
        </w:rPr>
        <w:t xml:space="preserve">oferecer </w:t>
      </w:r>
      <w:r w:rsidRPr="002F4565">
        <w:rPr>
          <w:lang w:val="pt-BR"/>
        </w:rPr>
        <w:t>educ</w:t>
      </w:r>
      <w:r w:rsidR="00F21F55" w:rsidRPr="002F4565">
        <w:rPr>
          <w:lang w:val="pt-BR"/>
        </w:rPr>
        <w:t>ação</w:t>
      </w:r>
      <w:r w:rsidRPr="002F4565">
        <w:rPr>
          <w:lang w:val="pt-BR"/>
        </w:rPr>
        <w:t xml:space="preserve"> </w:t>
      </w:r>
      <w:r w:rsidR="006053D7" w:rsidRPr="002F4565">
        <w:rPr>
          <w:lang w:val="pt-BR"/>
        </w:rPr>
        <w:t xml:space="preserve">nutricional </w:t>
      </w:r>
      <w:r w:rsidR="0049090C" w:rsidRPr="002F4565">
        <w:rPr>
          <w:lang w:val="pt-BR"/>
        </w:rPr>
        <w:t>e</w:t>
      </w:r>
      <w:r w:rsidRPr="002F4565">
        <w:rPr>
          <w:lang w:val="pt-BR"/>
        </w:rPr>
        <w:t xml:space="preserve"> </w:t>
      </w:r>
      <w:r w:rsidR="006053D7" w:rsidRPr="002F4565">
        <w:rPr>
          <w:lang w:val="pt-BR"/>
        </w:rPr>
        <w:t xml:space="preserve">tornar </w:t>
      </w:r>
      <w:r w:rsidR="00FB4401" w:rsidRPr="002F4565">
        <w:rPr>
          <w:lang w:val="pt-BR"/>
        </w:rPr>
        <w:t>alimentos saudáveis</w:t>
      </w:r>
      <w:r w:rsidRPr="002F4565">
        <w:rPr>
          <w:lang w:val="pt-BR"/>
        </w:rPr>
        <w:t xml:space="preserve"> </w:t>
      </w:r>
      <w:r w:rsidR="00B5729E" w:rsidRPr="002F4565">
        <w:rPr>
          <w:lang w:val="pt-BR"/>
        </w:rPr>
        <w:t>disponíveis</w:t>
      </w:r>
      <w:r w:rsidRPr="002F4565">
        <w:rPr>
          <w:lang w:val="pt-BR"/>
        </w:rPr>
        <w:t xml:space="preserve"> </w:t>
      </w:r>
      <w:r w:rsidR="0049090C" w:rsidRPr="002F4565">
        <w:rPr>
          <w:lang w:val="pt-BR"/>
        </w:rPr>
        <w:t>e</w:t>
      </w:r>
      <w:r w:rsidRPr="002F4565">
        <w:rPr>
          <w:lang w:val="pt-BR"/>
        </w:rPr>
        <w:t xml:space="preserve"> </w:t>
      </w:r>
      <w:r w:rsidR="00624BDC" w:rsidRPr="002F4565">
        <w:rPr>
          <w:lang w:val="pt-BR"/>
        </w:rPr>
        <w:t>acessíveis</w:t>
      </w:r>
      <w:r w:rsidRPr="002F4565">
        <w:rPr>
          <w:lang w:val="pt-BR"/>
        </w:rPr>
        <w:t xml:space="preserve"> </w:t>
      </w:r>
      <w:r w:rsidR="006053D7" w:rsidRPr="002F4565">
        <w:rPr>
          <w:lang w:val="pt-BR"/>
        </w:rPr>
        <w:t xml:space="preserve">àqueles que </w:t>
      </w:r>
      <w:r w:rsidR="00ED67D7" w:rsidRPr="002F4565">
        <w:rPr>
          <w:lang w:val="pt-BR"/>
        </w:rPr>
        <w:t xml:space="preserve">se </w:t>
      </w:r>
      <w:proofErr w:type="gramStart"/>
      <w:r w:rsidR="00ED67D7" w:rsidRPr="002F4565">
        <w:rPr>
          <w:lang w:val="pt-BR"/>
        </w:rPr>
        <w:t>beneficiam</w:t>
      </w:r>
      <w:r w:rsidRPr="002F4565">
        <w:rPr>
          <w:lang w:val="pt-BR"/>
        </w:rPr>
        <w:t>.</w:t>
      </w:r>
      <w:proofErr w:type="gramEnd"/>
      <w:r w:rsidRPr="002F4565">
        <w:rPr>
          <w:vertAlign w:val="superscript"/>
          <w:lang w:val="pt-BR"/>
        </w:rPr>
        <w:t>71</w:t>
      </w:r>
      <w:r w:rsidRPr="002F4565">
        <w:rPr>
          <w:lang w:val="pt-BR"/>
        </w:rPr>
        <w:t xml:space="preserve"> Final</w:t>
      </w:r>
      <w:r w:rsidR="006053D7" w:rsidRPr="002F4565">
        <w:rPr>
          <w:lang w:val="pt-BR"/>
        </w:rPr>
        <w:t>mente</w:t>
      </w:r>
      <w:r w:rsidRPr="002F4565">
        <w:rPr>
          <w:lang w:val="pt-BR"/>
        </w:rPr>
        <w:t xml:space="preserve">, </w:t>
      </w:r>
      <w:r w:rsidR="006053D7"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6053D7" w:rsidRPr="002F4565">
        <w:rPr>
          <w:lang w:val="pt-BR"/>
        </w:rPr>
        <w:t xml:space="preserve">trabalhar para eliminar as desigualdades no </w:t>
      </w:r>
      <w:r w:rsidR="006A31E1" w:rsidRPr="002F4565">
        <w:rPr>
          <w:lang w:val="pt-BR"/>
        </w:rPr>
        <w:t>acesso</w:t>
      </w:r>
      <w:r w:rsidRPr="002F4565">
        <w:rPr>
          <w:lang w:val="pt-BR"/>
        </w:rPr>
        <w:t xml:space="preserve"> </w:t>
      </w:r>
      <w:r w:rsidR="006053D7" w:rsidRPr="002F4565">
        <w:rPr>
          <w:lang w:val="pt-BR"/>
        </w:rPr>
        <w:t xml:space="preserve">ao atendimento primário </w:t>
      </w:r>
      <w:r w:rsidR="0049090C" w:rsidRPr="002F4565">
        <w:rPr>
          <w:lang w:val="pt-BR"/>
        </w:rPr>
        <w:t>e</w:t>
      </w:r>
      <w:r w:rsidRPr="002F4565">
        <w:rPr>
          <w:lang w:val="pt-BR"/>
        </w:rPr>
        <w:t xml:space="preserve"> preventiv</w:t>
      </w:r>
      <w:r w:rsidR="006053D7" w:rsidRPr="002F4565">
        <w:rPr>
          <w:lang w:val="pt-BR"/>
        </w:rPr>
        <w:t>o</w:t>
      </w:r>
      <w:r w:rsidRPr="002F4565">
        <w:rPr>
          <w:lang w:val="pt-BR"/>
        </w:rPr>
        <w:t xml:space="preserve">, </w:t>
      </w:r>
      <w:r w:rsidR="006053D7" w:rsidRPr="002F4565">
        <w:rPr>
          <w:lang w:val="pt-BR"/>
        </w:rPr>
        <w:t xml:space="preserve">para diminuir os efeitos desproporcionais </w:t>
      </w:r>
      <w:r w:rsidR="0049090C" w:rsidRPr="002F4565">
        <w:rPr>
          <w:lang w:val="pt-BR"/>
        </w:rPr>
        <w:t>d</w:t>
      </w:r>
      <w:r w:rsidR="006053D7" w:rsidRPr="002F4565">
        <w:rPr>
          <w:lang w:val="pt-BR"/>
        </w:rPr>
        <w:t>os</w:t>
      </w:r>
      <w:r w:rsidRPr="002F4565">
        <w:rPr>
          <w:lang w:val="pt-BR"/>
        </w:rPr>
        <w:t xml:space="preserve"> </w:t>
      </w:r>
      <w:r w:rsidR="00261A8A" w:rsidRPr="002F4565">
        <w:rPr>
          <w:lang w:val="pt-BR"/>
        </w:rPr>
        <w:t>alimentos pouco saudáveis</w:t>
      </w:r>
      <w:r w:rsidRPr="002F4565">
        <w:rPr>
          <w:lang w:val="pt-BR"/>
        </w:rPr>
        <w:t xml:space="preserve"> </w:t>
      </w:r>
      <w:r w:rsidR="006053D7" w:rsidRPr="002F4565">
        <w:rPr>
          <w:lang w:val="pt-BR"/>
        </w:rPr>
        <w:t xml:space="preserve">nas comunidades de </w:t>
      </w:r>
      <w:r w:rsidR="00802E44" w:rsidRPr="002F4565">
        <w:rPr>
          <w:lang w:val="pt-BR"/>
        </w:rPr>
        <w:t>baixa renda</w:t>
      </w:r>
      <w:r w:rsidRPr="002F4565">
        <w:rPr>
          <w:lang w:val="pt-BR"/>
        </w:rPr>
        <w:t>.</w:t>
      </w:r>
    </w:p>
    <w:p w:rsidR="00115B91" w:rsidRPr="002F4565" w:rsidRDefault="00115B91" w:rsidP="0051636A">
      <w:pPr>
        <w:spacing w:before="120" w:after="0" w:line="240" w:lineRule="auto"/>
        <w:rPr>
          <w:lang w:val="pt-BR"/>
        </w:rPr>
      </w:pPr>
      <w:r w:rsidRPr="002F4565">
        <w:rPr>
          <w:lang w:val="pt-BR"/>
        </w:rPr>
        <w:t>VII. Particip</w:t>
      </w:r>
      <w:r w:rsidR="00F21F55" w:rsidRPr="002F4565">
        <w:rPr>
          <w:lang w:val="pt-BR"/>
        </w:rPr>
        <w:t>ação</w:t>
      </w:r>
    </w:p>
    <w:p w:rsidR="00115B91" w:rsidRPr="002F4565" w:rsidRDefault="00115B91" w:rsidP="0051636A">
      <w:pPr>
        <w:spacing w:before="120" w:after="0" w:line="240" w:lineRule="auto"/>
        <w:rPr>
          <w:lang w:val="pt-BR"/>
        </w:rPr>
      </w:pPr>
      <w:r w:rsidRPr="002F4565">
        <w:rPr>
          <w:lang w:val="pt-BR"/>
        </w:rPr>
        <w:t xml:space="preserve">47. </w:t>
      </w:r>
      <w:r w:rsidR="00140D97" w:rsidRPr="002F4565">
        <w:rPr>
          <w:lang w:val="pt-BR"/>
        </w:rPr>
        <w:t xml:space="preserve">A estrutura do </w:t>
      </w:r>
      <w:r w:rsidR="00F21F55" w:rsidRPr="002F4565">
        <w:rPr>
          <w:lang w:val="pt-BR"/>
        </w:rPr>
        <w:t>direito à saúde</w:t>
      </w:r>
      <w:r w:rsidRPr="002F4565">
        <w:rPr>
          <w:lang w:val="pt-BR"/>
        </w:rPr>
        <w:t xml:space="preserve"> </w:t>
      </w:r>
      <w:r w:rsidR="00140D97" w:rsidRPr="002F4565">
        <w:rPr>
          <w:lang w:val="pt-BR"/>
        </w:rPr>
        <w:t>exige a</w:t>
      </w:r>
      <w:r w:rsidRPr="002F4565">
        <w:rPr>
          <w:lang w:val="pt-BR"/>
        </w:rPr>
        <w:t xml:space="preserve"> particip</w:t>
      </w:r>
      <w:r w:rsidR="00F21F55" w:rsidRPr="002F4565">
        <w:rPr>
          <w:lang w:val="pt-BR"/>
        </w:rPr>
        <w:t>ação</w:t>
      </w:r>
      <w:r w:rsidRPr="002F4565">
        <w:rPr>
          <w:lang w:val="pt-BR"/>
        </w:rPr>
        <w:t xml:space="preserve"> </w:t>
      </w:r>
      <w:r w:rsidR="0049090C" w:rsidRPr="002F4565">
        <w:rPr>
          <w:lang w:val="pt-BR"/>
        </w:rPr>
        <w:t>d</w:t>
      </w:r>
      <w:r w:rsidR="00140D97" w:rsidRPr="002F4565">
        <w:rPr>
          <w:lang w:val="pt-BR"/>
        </w:rPr>
        <w:t>a</w:t>
      </w:r>
      <w:r w:rsidRPr="002F4565">
        <w:rPr>
          <w:lang w:val="pt-BR"/>
        </w:rPr>
        <w:t xml:space="preserve"> popul</w:t>
      </w:r>
      <w:r w:rsidR="00F21F55" w:rsidRPr="002F4565">
        <w:rPr>
          <w:lang w:val="pt-BR"/>
        </w:rPr>
        <w:t>ação</w:t>
      </w:r>
      <w:r w:rsidRPr="002F4565">
        <w:rPr>
          <w:lang w:val="pt-BR"/>
        </w:rPr>
        <w:t>, espe</w:t>
      </w:r>
      <w:r w:rsidR="000E48EB" w:rsidRPr="002F4565">
        <w:rPr>
          <w:lang w:val="pt-BR"/>
        </w:rPr>
        <w:t>cialmente</w:t>
      </w:r>
      <w:r w:rsidRPr="002F4565">
        <w:rPr>
          <w:lang w:val="pt-BR"/>
        </w:rPr>
        <w:t xml:space="preserve"> </w:t>
      </w:r>
      <w:r w:rsidR="00140D97" w:rsidRPr="002F4565">
        <w:rPr>
          <w:lang w:val="pt-BR"/>
        </w:rPr>
        <w:t xml:space="preserve">as </w:t>
      </w:r>
      <w:r w:rsidRPr="002F4565">
        <w:rPr>
          <w:lang w:val="pt-BR"/>
        </w:rPr>
        <w:t>popul</w:t>
      </w:r>
      <w:r w:rsidR="00F21F55" w:rsidRPr="002F4565">
        <w:rPr>
          <w:lang w:val="pt-BR"/>
        </w:rPr>
        <w:t>ações</w:t>
      </w:r>
      <w:r w:rsidR="00140D97" w:rsidRPr="002F4565">
        <w:rPr>
          <w:lang w:val="pt-BR"/>
        </w:rPr>
        <w:t xml:space="preserve"> afetadas</w:t>
      </w:r>
      <w:r w:rsidRPr="002F4565">
        <w:rPr>
          <w:lang w:val="pt-BR"/>
        </w:rPr>
        <w:t xml:space="preserve">, </w:t>
      </w:r>
      <w:r w:rsidR="00140D97" w:rsidRPr="002F4565">
        <w:rPr>
          <w:lang w:val="pt-BR"/>
        </w:rPr>
        <w:t xml:space="preserve">na </w:t>
      </w:r>
      <w:r w:rsidR="00624BDC" w:rsidRPr="002F4565">
        <w:rPr>
          <w:lang w:val="pt-BR"/>
        </w:rPr>
        <w:t>tomada de decis</w:t>
      </w:r>
      <w:r w:rsidR="00140D97" w:rsidRPr="002F4565">
        <w:rPr>
          <w:lang w:val="pt-BR"/>
        </w:rPr>
        <w:t xml:space="preserve">ões relacionadas com a saúde em todos os </w:t>
      </w:r>
      <w:r w:rsidR="003F41C2" w:rsidRPr="002F4565">
        <w:rPr>
          <w:lang w:val="pt-BR"/>
        </w:rPr>
        <w:t>níveis</w:t>
      </w:r>
      <w:r w:rsidR="00ED67D7" w:rsidRPr="002F4565">
        <w:rPr>
          <w:lang w:val="pt-BR"/>
        </w:rPr>
        <w:t>:</w:t>
      </w:r>
      <w:r w:rsidRPr="002F4565">
        <w:rPr>
          <w:lang w:val="pt-BR"/>
        </w:rPr>
        <w:t xml:space="preserve"> </w:t>
      </w:r>
      <w:r w:rsidR="002E1AA7" w:rsidRPr="002F4565">
        <w:rPr>
          <w:lang w:val="pt-BR"/>
        </w:rPr>
        <w:t>comuni</w:t>
      </w:r>
      <w:r w:rsidR="00140D97" w:rsidRPr="002F4565">
        <w:rPr>
          <w:lang w:val="pt-BR"/>
        </w:rPr>
        <w:t>tário</w:t>
      </w:r>
      <w:r w:rsidRPr="002F4565">
        <w:rPr>
          <w:lang w:val="pt-BR"/>
        </w:rPr>
        <w:t xml:space="preserve">, regional </w:t>
      </w:r>
      <w:r w:rsidR="0049090C" w:rsidRPr="002F4565">
        <w:rPr>
          <w:lang w:val="pt-BR"/>
        </w:rPr>
        <w:t>e</w:t>
      </w:r>
      <w:r w:rsidRPr="002F4565">
        <w:rPr>
          <w:lang w:val="pt-BR"/>
        </w:rPr>
        <w:t xml:space="preserve"> </w:t>
      </w:r>
      <w:r w:rsidR="00C47496" w:rsidRPr="002F4565">
        <w:rPr>
          <w:lang w:val="pt-BR"/>
        </w:rPr>
        <w:t>nacional</w:t>
      </w:r>
      <w:r w:rsidRPr="002F4565">
        <w:rPr>
          <w:lang w:val="pt-BR"/>
        </w:rPr>
        <w:t xml:space="preserve">. </w:t>
      </w:r>
      <w:r w:rsidR="00140D97"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6A31E1" w:rsidRPr="002F4565">
        <w:rPr>
          <w:lang w:val="pt-BR"/>
        </w:rPr>
        <w:t>garantir</w:t>
      </w:r>
      <w:r w:rsidRPr="002F4565">
        <w:rPr>
          <w:lang w:val="pt-BR"/>
        </w:rPr>
        <w:t xml:space="preserve"> </w:t>
      </w:r>
      <w:r w:rsidR="00140D97" w:rsidRPr="002F4565">
        <w:rPr>
          <w:lang w:val="pt-BR"/>
        </w:rPr>
        <w:t>a</w:t>
      </w:r>
      <w:r w:rsidRPr="002F4565">
        <w:rPr>
          <w:lang w:val="pt-BR"/>
        </w:rPr>
        <w:t xml:space="preserve"> particip</w:t>
      </w:r>
      <w:r w:rsidR="00F21F55" w:rsidRPr="002F4565">
        <w:rPr>
          <w:lang w:val="pt-BR"/>
        </w:rPr>
        <w:t>ação</w:t>
      </w:r>
      <w:r w:rsidRPr="002F4565">
        <w:rPr>
          <w:lang w:val="pt-BR"/>
        </w:rPr>
        <w:t xml:space="preserve"> </w:t>
      </w:r>
      <w:r w:rsidR="0049090C" w:rsidRPr="002F4565">
        <w:rPr>
          <w:lang w:val="pt-BR"/>
        </w:rPr>
        <w:t>d</w:t>
      </w:r>
      <w:r w:rsidR="00140D97" w:rsidRPr="002F4565">
        <w:rPr>
          <w:lang w:val="pt-BR"/>
        </w:rPr>
        <w:t>as comunidades</w:t>
      </w:r>
      <w:r w:rsidRPr="002F4565">
        <w:rPr>
          <w:lang w:val="pt-BR"/>
        </w:rPr>
        <w:t xml:space="preserve"> </w:t>
      </w:r>
      <w:r w:rsidR="00140D97" w:rsidRPr="002F4565">
        <w:rPr>
          <w:lang w:val="pt-BR"/>
        </w:rPr>
        <w:t xml:space="preserve">afetadas </w:t>
      </w:r>
      <w:r w:rsidR="0049090C" w:rsidRPr="002F4565">
        <w:rPr>
          <w:lang w:val="pt-BR"/>
        </w:rPr>
        <w:t>e</w:t>
      </w:r>
      <w:r w:rsidRPr="002F4565">
        <w:rPr>
          <w:lang w:val="pt-BR"/>
        </w:rPr>
        <w:t xml:space="preserve"> </w:t>
      </w:r>
      <w:r w:rsidR="00802E44" w:rsidRPr="002F4565">
        <w:rPr>
          <w:lang w:val="pt-BR"/>
        </w:rPr>
        <w:t xml:space="preserve">grupos vulneráveis </w:t>
      </w:r>
      <w:r w:rsidR="00140D97" w:rsidRPr="002F4565">
        <w:rPr>
          <w:lang w:val="pt-BR"/>
        </w:rPr>
        <w:t xml:space="preserve">no desenvolvimento de </w:t>
      </w:r>
      <w:r w:rsidR="0007577A" w:rsidRPr="002F4565">
        <w:rPr>
          <w:lang w:val="pt-BR"/>
        </w:rPr>
        <w:t>políticas</w:t>
      </w:r>
      <w:r w:rsidR="00140D97" w:rsidRPr="002F4565">
        <w:rPr>
          <w:lang w:val="pt-BR"/>
        </w:rPr>
        <w:t xml:space="preserve"> </w:t>
      </w:r>
      <w:r w:rsidR="0049090C" w:rsidRPr="002F4565">
        <w:rPr>
          <w:lang w:val="pt-BR"/>
        </w:rPr>
        <w:t>aliment</w:t>
      </w:r>
      <w:r w:rsidR="00140D97" w:rsidRPr="002F4565">
        <w:rPr>
          <w:lang w:val="pt-BR"/>
        </w:rPr>
        <w:t>ares</w:t>
      </w:r>
      <w:r w:rsidRPr="002F4565">
        <w:rPr>
          <w:lang w:val="pt-BR"/>
        </w:rPr>
        <w:t xml:space="preserve"> </w:t>
      </w:r>
      <w:r w:rsidR="0049090C" w:rsidRPr="002F4565">
        <w:rPr>
          <w:lang w:val="pt-BR"/>
        </w:rPr>
        <w:t>e</w:t>
      </w:r>
      <w:r w:rsidRPr="002F4565">
        <w:rPr>
          <w:lang w:val="pt-BR"/>
        </w:rPr>
        <w:t xml:space="preserve"> </w:t>
      </w:r>
      <w:r w:rsidR="00140D97" w:rsidRPr="002F4565">
        <w:rPr>
          <w:lang w:val="pt-BR"/>
        </w:rPr>
        <w:t xml:space="preserve">na </w:t>
      </w:r>
      <w:r w:rsidR="00624BDC" w:rsidRPr="002F4565">
        <w:rPr>
          <w:lang w:val="pt-BR"/>
        </w:rPr>
        <w:t>tomada de decisão</w:t>
      </w:r>
      <w:r w:rsidRPr="002F4565">
        <w:rPr>
          <w:lang w:val="pt-BR"/>
        </w:rPr>
        <w:t xml:space="preserve"> </w:t>
      </w:r>
      <w:r w:rsidR="00140D97" w:rsidRPr="002F4565">
        <w:rPr>
          <w:lang w:val="pt-BR"/>
        </w:rPr>
        <w:t xml:space="preserve">a respeito da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w:t>
      </w:r>
      <w:r w:rsidR="00BC3868" w:rsidRPr="002F4565">
        <w:rPr>
          <w:lang w:val="pt-BR"/>
        </w:rPr>
        <w:t>publicidade</w:t>
      </w:r>
      <w:r w:rsidRPr="002F4565">
        <w:rPr>
          <w:lang w:val="pt-BR"/>
        </w:rPr>
        <w:t xml:space="preserve"> </w:t>
      </w:r>
      <w:r w:rsidR="00140D97" w:rsidRPr="002F4565">
        <w:rPr>
          <w:lang w:val="pt-BR"/>
        </w:rPr>
        <w:t xml:space="preserve">de alimento em locais como as </w:t>
      </w:r>
      <w:r w:rsidR="00072E1E" w:rsidRPr="002F4565">
        <w:rPr>
          <w:lang w:val="pt-BR"/>
        </w:rPr>
        <w:t>escola</w:t>
      </w:r>
      <w:r w:rsidRPr="002F4565">
        <w:rPr>
          <w:lang w:val="pt-BR"/>
        </w:rPr>
        <w:t xml:space="preserve">s, </w:t>
      </w:r>
      <w:r w:rsidR="00140D97" w:rsidRPr="002F4565">
        <w:rPr>
          <w:lang w:val="pt-BR"/>
        </w:rPr>
        <w:t xml:space="preserve">ambientes de trabalho </w:t>
      </w:r>
      <w:r w:rsidR="0049090C" w:rsidRPr="002F4565">
        <w:rPr>
          <w:lang w:val="pt-BR"/>
        </w:rPr>
        <w:t>e</w:t>
      </w:r>
      <w:r w:rsidRPr="002F4565">
        <w:rPr>
          <w:lang w:val="pt-BR"/>
        </w:rPr>
        <w:t xml:space="preserve"> </w:t>
      </w:r>
      <w:r w:rsidR="00140D97" w:rsidRPr="002F4565">
        <w:rPr>
          <w:lang w:val="pt-BR"/>
        </w:rPr>
        <w:t>centros comunitários</w:t>
      </w:r>
      <w:r w:rsidRPr="002F4565">
        <w:rPr>
          <w:lang w:val="pt-BR"/>
        </w:rPr>
        <w:t xml:space="preserve">. </w:t>
      </w:r>
      <w:r w:rsidR="00140D97" w:rsidRPr="002F4565">
        <w:rPr>
          <w:lang w:val="pt-BR"/>
        </w:rPr>
        <w:t>A p</w:t>
      </w:r>
      <w:r w:rsidRPr="002F4565">
        <w:rPr>
          <w:lang w:val="pt-BR"/>
        </w:rPr>
        <w:t>articip</w:t>
      </w:r>
      <w:r w:rsidR="00F21F55" w:rsidRPr="002F4565">
        <w:rPr>
          <w:lang w:val="pt-BR"/>
        </w:rPr>
        <w:t>ação</w:t>
      </w:r>
      <w:r w:rsidRPr="002F4565">
        <w:rPr>
          <w:lang w:val="pt-BR"/>
        </w:rPr>
        <w:t xml:space="preserve"> </w:t>
      </w:r>
      <w:r w:rsidR="00140D97" w:rsidRPr="002F4565">
        <w:rPr>
          <w:lang w:val="pt-BR"/>
        </w:rPr>
        <w:t xml:space="preserve">delega poderes às </w:t>
      </w:r>
      <w:r w:rsidR="006A31E1" w:rsidRPr="002F4565">
        <w:rPr>
          <w:lang w:val="pt-BR"/>
        </w:rPr>
        <w:t>pessoas</w:t>
      </w:r>
      <w:r w:rsidRPr="002F4565">
        <w:rPr>
          <w:lang w:val="pt-BR"/>
        </w:rPr>
        <w:t xml:space="preserve"> </w:t>
      </w:r>
      <w:r w:rsidR="00140D97" w:rsidRPr="002F4565">
        <w:rPr>
          <w:lang w:val="pt-BR"/>
        </w:rPr>
        <w:t xml:space="preserve">para exercer seu </w:t>
      </w:r>
      <w:r w:rsidR="0049090C" w:rsidRPr="002F4565">
        <w:rPr>
          <w:lang w:val="pt-BR"/>
        </w:rPr>
        <w:t>direito</w:t>
      </w:r>
      <w:r w:rsidRPr="002F4565">
        <w:rPr>
          <w:lang w:val="pt-BR"/>
        </w:rPr>
        <w:t xml:space="preserve"> </w:t>
      </w:r>
      <w:r w:rsidR="00140D97" w:rsidRPr="002F4565">
        <w:rPr>
          <w:lang w:val="pt-BR"/>
        </w:rPr>
        <w:t xml:space="preserve">à </w:t>
      </w:r>
      <w:r w:rsidRPr="002F4565">
        <w:rPr>
          <w:lang w:val="pt-BR"/>
        </w:rPr>
        <w:t>auto</w:t>
      </w:r>
      <w:r w:rsidR="00624BDC" w:rsidRPr="002F4565">
        <w:rPr>
          <w:lang w:val="pt-BR"/>
        </w:rPr>
        <w:t>nomia</w:t>
      </w:r>
      <w:r w:rsidRPr="002F4565">
        <w:rPr>
          <w:lang w:val="pt-BR"/>
        </w:rPr>
        <w:t xml:space="preserve"> </w:t>
      </w:r>
      <w:r w:rsidR="0049090C" w:rsidRPr="002F4565">
        <w:rPr>
          <w:lang w:val="pt-BR"/>
        </w:rPr>
        <w:t>e</w:t>
      </w:r>
      <w:r w:rsidRPr="002F4565">
        <w:rPr>
          <w:lang w:val="pt-BR"/>
        </w:rPr>
        <w:t xml:space="preserve"> </w:t>
      </w:r>
      <w:r w:rsidR="00140D97" w:rsidRPr="002F4565">
        <w:rPr>
          <w:lang w:val="pt-BR"/>
        </w:rPr>
        <w:t xml:space="preserve">tomar suas próprias </w:t>
      </w:r>
      <w:r w:rsidR="00624BDC" w:rsidRPr="002F4565">
        <w:rPr>
          <w:lang w:val="pt-BR"/>
        </w:rPr>
        <w:t>decisões</w:t>
      </w:r>
      <w:r w:rsidRPr="002F4565">
        <w:rPr>
          <w:lang w:val="pt-BR"/>
        </w:rPr>
        <w:t xml:space="preserve"> </w:t>
      </w:r>
      <w:r w:rsidR="00F21F55" w:rsidRPr="002F4565">
        <w:rPr>
          <w:lang w:val="pt-BR"/>
        </w:rPr>
        <w:t>sobre</w:t>
      </w:r>
      <w:r w:rsidRPr="002F4565">
        <w:rPr>
          <w:lang w:val="pt-BR"/>
        </w:rPr>
        <w:t xml:space="preserve"> </w:t>
      </w:r>
      <w:r w:rsidR="00140D97" w:rsidRPr="002F4565">
        <w:rPr>
          <w:lang w:val="pt-BR"/>
        </w:rPr>
        <w:t xml:space="preserve">a </w:t>
      </w:r>
      <w:r w:rsidR="0049090C" w:rsidRPr="002F4565">
        <w:rPr>
          <w:lang w:val="pt-BR"/>
        </w:rPr>
        <w:t>saúde</w:t>
      </w:r>
      <w:r w:rsidR="00140D97" w:rsidRPr="002F4565">
        <w:rPr>
          <w:lang w:val="pt-BR"/>
        </w:rPr>
        <w:t xml:space="preserve"> alimentar</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48. </w:t>
      </w:r>
      <w:r w:rsidR="00E279F6" w:rsidRPr="002F4565">
        <w:rPr>
          <w:lang w:val="pt-BR"/>
        </w:rPr>
        <w:t xml:space="preserve">A </w:t>
      </w:r>
      <w:r w:rsidRPr="002F4565">
        <w:rPr>
          <w:lang w:val="pt-BR"/>
        </w:rPr>
        <w:t>particip</w:t>
      </w:r>
      <w:r w:rsidR="00F21F55" w:rsidRPr="002F4565">
        <w:rPr>
          <w:lang w:val="pt-BR"/>
        </w:rPr>
        <w:t>ação</w:t>
      </w:r>
      <w:r w:rsidRPr="002F4565">
        <w:rPr>
          <w:lang w:val="pt-BR"/>
        </w:rPr>
        <w:t xml:space="preserve"> </w:t>
      </w:r>
      <w:r w:rsidR="00E279F6" w:rsidRPr="002F4565">
        <w:rPr>
          <w:lang w:val="pt-BR"/>
        </w:rPr>
        <w:t xml:space="preserve">significativa </w:t>
      </w:r>
      <w:r w:rsidR="00ED67D7" w:rsidRPr="002F4565">
        <w:rPr>
          <w:lang w:val="pt-BR"/>
        </w:rPr>
        <w:t xml:space="preserve">gera </w:t>
      </w:r>
      <w:r w:rsidR="00072E1E" w:rsidRPr="002F4565">
        <w:rPr>
          <w:lang w:val="pt-BR"/>
        </w:rPr>
        <w:t>benefício</w:t>
      </w:r>
      <w:r w:rsidRPr="002F4565">
        <w:rPr>
          <w:lang w:val="pt-BR"/>
        </w:rPr>
        <w:t xml:space="preserve">s </w:t>
      </w:r>
      <w:r w:rsidR="00E279F6" w:rsidRPr="002F4565">
        <w:rPr>
          <w:lang w:val="pt-BR"/>
        </w:rPr>
        <w:t xml:space="preserve">para a saúde pública </w:t>
      </w:r>
      <w:r w:rsidR="0049090C" w:rsidRPr="002F4565">
        <w:rPr>
          <w:lang w:val="pt-BR"/>
        </w:rPr>
        <w:t>e</w:t>
      </w:r>
      <w:r w:rsidRPr="002F4565">
        <w:rPr>
          <w:lang w:val="pt-BR"/>
        </w:rPr>
        <w:t xml:space="preserve"> </w:t>
      </w:r>
      <w:r w:rsidR="00F21F55" w:rsidRPr="002F4565">
        <w:rPr>
          <w:lang w:val="pt-BR"/>
        </w:rPr>
        <w:t>também</w:t>
      </w:r>
      <w:r w:rsidRPr="002F4565">
        <w:rPr>
          <w:lang w:val="pt-BR"/>
        </w:rPr>
        <w:t xml:space="preserve"> </w:t>
      </w:r>
      <w:r w:rsidR="00E279F6" w:rsidRPr="002F4565">
        <w:rPr>
          <w:lang w:val="pt-BR"/>
        </w:rPr>
        <w:t xml:space="preserve">delega poderes para as </w:t>
      </w:r>
      <w:r w:rsidR="006A31E1" w:rsidRPr="002F4565">
        <w:rPr>
          <w:lang w:val="pt-BR"/>
        </w:rPr>
        <w:t>pessoas</w:t>
      </w:r>
      <w:r w:rsidR="00E279F6" w:rsidRPr="002F4565">
        <w:rPr>
          <w:lang w:val="pt-BR"/>
        </w:rPr>
        <w:t>,</w:t>
      </w:r>
      <w:r w:rsidRPr="002F4565">
        <w:rPr>
          <w:lang w:val="pt-BR"/>
        </w:rPr>
        <w:t xml:space="preserve"> </w:t>
      </w:r>
      <w:r w:rsidR="00153A40" w:rsidRPr="002F4565">
        <w:rPr>
          <w:lang w:val="pt-BR"/>
        </w:rPr>
        <w:t>de acordo</w:t>
      </w:r>
      <w:r w:rsidRPr="002F4565">
        <w:rPr>
          <w:lang w:val="pt-BR"/>
        </w:rPr>
        <w:t xml:space="preserve"> </w:t>
      </w:r>
      <w:r w:rsidR="00F21F55" w:rsidRPr="002F4565">
        <w:rPr>
          <w:lang w:val="pt-BR"/>
        </w:rPr>
        <w:t>com</w:t>
      </w:r>
      <w:r w:rsidRPr="002F4565">
        <w:rPr>
          <w:lang w:val="pt-BR"/>
        </w:rPr>
        <w:t xml:space="preserve"> </w:t>
      </w:r>
      <w:r w:rsidR="00E279F6" w:rsidRPr="002F4565">
        <w:rPr>
          <w:lang w:val="pt-BR"/>
        </w:rPr>
        <w:t xml:space="preserve">a </w:t>
      </w:r>
      <w:r w:rsidR="00624BDC" w:rsidRPr="002F4565">
        <w:rPr>
          <w:lang w:val="pt-BR"/>
        </w:rPr>
        <w:t>abordagem</w:t>
      </w:r>
      <w:r w:rsidR="00E279F6" w:rsidRPr="002F4565">
        <w:rPr>
          <w:lang w:val="pt-BR"/>
        </w:rPr>
        <w:t xml:space="preserve"> ao direito à saúde</w:t>
      </w:r>
      <w:r w:rsidRPr="002F4565">
        <w:rPr>
          <w:lang w:val="pt-BR"/>
        </w:rPr>
        <w:t xml:space="preserve">. </w:t>
      </w:r>
      <w:r w:rsidR="00E279F6"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E279F6" w:rsidRPr="002F4565">
        <w:rPr>
          <w:lang w:val="pt-BR"/>
        </w:rPr>
        <w:t xml:space="preserve">haja espaços </w:t>
      </w:r>
      <w:r w:rsidR="00B5729E" w:rsidRPr="002F4565">
        <w:rPr>
          <w:lang w:val="pt-BR"/>
        </w:rPr>
        <w:t>disponíveis</w:t>
      </w:r>
      <w:r w:rsidRPr="002F4565">
        <w:rPr>
          <w:lang w:val="pt-BR"/>
        </w:rPr>
        <w:t xml:space="preserve"> </w:t>
      </w:r>
      <w:r w:rsidR="00E279F6" w:rsidRPr="002F4565">
        <w:rPr>
          <w:lang w:val="pt-BR"/>
        </w:rPr>
        <w:t xml:space="preserve">para as </w:t>
      </w:r>
      <w:r w:rsidR="00802E44" w:rsidRPr="002F4565">
        <w:rPr>
          <w:lang w:val="pt-BR"/>
        </w:rPr>
        <w:t>crianças</w:t>
      </w:r>
      <w:r w:rsidRPr="002F4565">
        <w:rPr>
          <w:lang w:val="pt-BR"/>
        </w:rPr>
        <w:t xml:space="preserve"> </w:t>
      </w:r>
      <w:r w:rsidR="0049090C" w:rsidRPr="002F4565">
        <w:rPr>
          <w:lang w:val="pt-BR"/>
        </w:rPr>
        <w:t>e</w:t>
      </w:r>
      <w:r w:rsidRPr="002F4565">
        <w:rPr>
          <w:lang w:val="pt-BR"/>
        </w:rPr>
        <w:t xml:space="preserve"> </w:t>
      </w:r>
      <w:r w:rsidR="00E279F6" w:rsidRPr="002F4565">
        <w:rPr>
          <w:lang w:val="pt-BR"/>
        </w:rPr>
        <w:t xml:space="preserve">pais para </w:t>
      </w:r>
      <w:r w:rsidR="00995E88" w:rsidRPr="002F4565">
        <w:rPr>
          <w:lang w:val="pt-BR"/>
        </w:rPr>
        <w:t xml:space="preserve">que forneçam </w:t>
      </w:r>
      <w:r w:rsidR="00E279F6" w:rsidRPr="002F4565">
        <w:rPr>
          <w:lang w:val="pt-BR"/>
        </w:rPr>
        <w:t xml:space="preserve">informações sobre </w:t>
      </w:r>
      <w:r w:rsidR="00261A8A" w:rsidRPr="002F4565">
        <w:rPr>
          <w:lang w:val="pt-BR"/>
        </w:rPr>
        <w:t>alimentos</w:t>
      </w:r>
      <w:r w:rsidR="00E279F6" w:rsidRPr="002F4565">
        <w:rPr>
          <w:lang w:val="pt-BR"/>
        </w:rPr>
        <w:t xml:space="preserve"> nas escolas</w:t>
      </w:r>
      <w:r w:rsidRPr="002F4565">
        <w:rPr>
          <w:lang w:val="pt-BR"/>
        </w:rPr>
        <w:t xml:space="preserve">, </w:t>
      </w:r>
      <w:r w:rsidR="00995E88" w:rsidRPr="002F4565">
        <w:rPr>
          <w:lang w:val="pt-BR"/>
        </w:rPr>
        <w:t xml:space="preserve">funcionários para dar informações sobre </w:t>
      </w:r>
      <w:r w:rsidR="0049090C" w:rsidRPr="002F4565">
        <w:rPr>
          <w:lang w:val="pt-BR"/>
        </w:rPr>
        <w:t>alimento</w:t>
      </w:r>
      <w:r w:rsidR="00995E88" w:rsidRPr="002F4565">
        <w:rPr>
          <w:lang w:val="pt-BR"/>
        </w:rPr>
        <w:t>s</w:t>
      </w:r>
      <w:r w:rsidRPr="002F4565">
        <w:rPr>
          <w:lang w:val="pt-BR"/>
        </w:rPr>
        <w:t xml:space="preserve"> </w:t>
      </w:r>
      <w:r w:rsidR="00995E88" w:rsidRPr="002F4565">
        <w:rPr>
          <w:lang w:val="pt-BR"/>
        </w:rPr>
        <w:t xml:space="preserve">no local de trabalho </w:t>
      </w:r>
      <w:r w:rsidR="003F41C2" w:rsidRPr="002F4565">
        <w:rPr>
          <w:lang w:val="pt-BR"/>
        </w:rPr>
        <w:t>ou</w:t>
      </w:r>
      <w:r w:rsidRPr="002F4565">
        <w:rPr>
          <w:lang w:val="pt-BR"/>
        </w:rPr>
        <w:t xml:space="preserve"> </w:t>
      </w:r>
      <w:r w:rsidR="00995E88" w:rsidRPr="002F4565">
        <w:rPr>
          <w:lang w:val="pt-BR"/>
        </w:rPr>
        <w:t xml:space="preserve">ao permitir que a </w:t>
      </w:r>
      <w:r w:rsidR="002E1AA7" w:rsidRPr="002F4565">
        <w:rPr>
          <w:lang w:val="pt-BR"/>
        </w:rPr>
        <w:t>comunidade</w:t>
      </w:r>
      <w:r w:rsidRPr="002F4565">
        <w:rPr>
          <w:lang w:val="pt-BR"/>
        </w:rPr>
        <w:t xml:space="preserve"> </w:t>
      </w:r>
      <w:r w:rsidR="003F41C2" w:rsidRPr="002F4565">
        <w:rPr>
          <w:lang w:val="pt-BR"/>
        </w:rPr>
        <w:t>ou</w:t>
      </w:r>
      <w:r w:rsidRPr="002F4565">
        <w:rPr>
          <w:lang w:val="pt-BR"/>
        </w:rPr>
        <w:t xml:space="preserve"> </w:t>
      </w:r>
      <w:r w:rsidR="00995E88" w:rsidRPr="002F4565">
        <w:rPr>
          <w:lang w:val="pt-BR"/>
        </w:rPr>
        <w:t xml:space="preserve">grupos de </w:t>
      </w:r>
      <w:r w:rsidR="00072E1E" w:rsidRPr="002F4565">
        <w:rPr>
          <w:lang w:val="pt-BR"/>
        </w:rPr>
        <w:t>consumidor</w:t>
      </w:r>
      <w:r w:rsidR="00995E88" w:rsidRPr="002F4565">
        <w:rPr>
          <w:lang w:val="pt-BR"/>
        </w:rPr>
        <w:t>es</w:t>
      </w:r>
      <w:r w:rsidRPr="002F4565">
        <w:rPr>
          <w:lang w:val="pt-BR"/>
        </w:rPr>
        <w:t xml:space="preserve"> </w:t>
      </w:r>
      <w:r w:rsidR="00995E88" w:rsidRPr="002F4565">
        <w:rPr>
          <w:lang w:val="pt-BR"/>
        </w:rPr>
        <w:t xml:space="preserve">se envolvam no estabelecimento de </w:t>
      </w:r>
      <w:r w:rsidR="00C47496" w:rsidRPr="002F4565">
        <w:rPr>
          <w:lang w:val="pt-BR"/>
        </w:rPr>
        <w:t>padrões</w:t>
      </w:r>
      <w:r w:rsidRPr="002F4565">
        <w:rPr>
          <w:lang w:val="pt-BR"/>
        </w:rPr>
        <w:t xml:space="preserve">. </w:t>
      </w:r>
      <w:r w:rsidR="00995E88"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995E88" w:rsidRPr="002F4565">
        <w:rPr>
          <w:lang w:val="pt-BR"/>
        </w:rPr>
        <w:t xml:space="preserve">buscar amplas consultas </w:t>
      </w:r>
      <w:r w:rsidR="003C09F9" w:rsidRPr="002F4565">
        <w:rPr>
          <w:lang w:val="pt-BR"/>
        </w:rPr>
        <w:t>públicas</w:t>
      </w:r>
      <w:r w:rsidRPr="002F4565">
        <w:rPr>
          <w:lang w:val="pt-BR"/>
        </w:rPr>
        <w:t xml:space="preserve"> </w:t>
      </w:r>
      <w:r w:rsidR="00995E88" w:rsidRPr="002F4565">
        <w:rPr>
          <w:lang w:val="pt-BR"/>
        </w:rPr>
        <w:t xml:space="preserve">para </w:t>
      </w:r>
      <w:r w:rsidRPr="002F4565">
        <w:rPr>
          <w:lang w:val="pt-BR"/>
        </w:rPr>
        <w:t>inform</w:t>
      </w:r>
      <w:r w:rsidR="00995E88" w:rsidRPr="002F4565">
        <w:rPr>
          <w:lang w:val="pt-BR"/>
        </w:rPr>
        <w:t>ar</w:t>
      </w:r>
      <w:r w:rsidRPr="002F4565">
        <w:rPr>
          <w:lang w:val="pt-BR"/>
        </w:rPr>
        <w:t xml:space="preserve"> </w:t>
      </w:r>
      <w:r w:rsidR="00995E88" w:rsidRPr="002F4565">
        <w:rPr>
          <w:lang w:val="pt-BR"/>
        </w:rPr>
        <w:t xml:space="preserve">as </w:t>
      </w:r>
      <w:r w:rsidR="0049090C" w:rsidRPr="002F4565">
        <w:rPr>
          <w:lang w:val="pt-BR"/>
        </w:rPr>
        <w:t>políticas</w:t>
      </w:r>
      <w:r w:rsidRPr="002F4565">
        <w:rPr>
          <w:lang w:val="pt-BR"/>
        </w:rPr>
        <w:t xml:space="preserve"> </w:t>
      </w:r>
      <w:r w:rsidR="00995E88" w:rsidRPr="002F4565">
        <w:rPr>
          <w:lang w:val="pt-BR"/>
        </w:rPr>
        <w:t>entre os setores</w:t>
      </w:r>
      <w:r w:rsidRPr="002F4565">
        <w:rPr>
          <w:lang w:val="pt-BR"/>
        </w:rPr>
        <w:t xml:space="preserve">, </w:t>
      </w:r>
      <w:r w:rsidR="00F21F55" w:rsidRPr="002F4565">
        <w:rPr>
          <w:lang w:val="pt-BR"/>
        </w:rPr>
        <w:t>inclusive</w:t>
      </w:r>
      <w:r w:rsidRPr="002F4565">
        <w:rPr>
          <w:lang w:val="pt-BR"/>
        </w:rPr>
        <w:t xml:space="preserve"> </w:t>
      </w:r>
      <w:r w:rsidR="0049090C" w:rsidRPr="002F4565">
        <w:rPr>
          <w:lang w:val="pt-BR"/>
        </w:rPr>
        <w:t>políticas</w:t>
      </w:r>
      <w:r w:rsidR="00995E88" w:rsidRPr="002F4565">
        <w:rPr>
          <w:lang w:val="pt-BR"/>
        </w:rPr>
        <w:t xml:space="preserve"> de produção agrícola</w:t>
      </w:r>
      <w:r w:rsidRPr="002F4565">
        <w:rPr>
          <w:lang w:val="pt-BR"/>
        </w:rPr>
        <w:t xml:space="preserve">, </w:t>
      </w:r>
      <w:r w:rsidR="00F21F55" w:rsidRPr="002F4565">
        <w:rPr>
          <w:lang w:val="pt-BR"/>
        </w:rPr>
        <w:t>regulamentação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3C09F9" w:rsidRPr="002F4565">
        <w:rPr>
          <w:lang w:val="pt-BR"/>
        </w:rPr>
        <w:t>padrões</w:t>
      </w:r>
      <w:r w:rsidRPr="002F4565">
        <w:rPr>
          <w:lang w:val="pt-BR"/>
        </w:rPr>
        <w:t xml:space="preserve"> </w:t>
      </w:r>
      <w:r w:rsidR="00995E88" w:rsidRPr="002F4565">
        <w:rPr>
          <w:lang w:val="pt-BR"/>
        </w:rPr>
        <w:t>nutriciona</w:t>
      </w:r>
      <w:r w:rsidR="00ED67D7" w:rsidRPr="002F4565">
        <w:rPr>
          <w:lang w:val="pt-BR"/>
        </w:rPr>
        <w:t>is</w:t>
      </w:r>
      <w:r w:rsidR="00995E88" w:rsidRPr="002F4565">
        <w:rPr>
          <w:lang w:val="pt-BR"/>
        </w:rPr>
        <w:t xml:space="preserve"> </w:t>
      </w:r>
      <w:r w:rsidR="00FB4DE4" w:rsidRPr="002F4565">
        <w:rPr>
          <w:lang w:val="pt-BR"/>
        </w:rPr>
        <w:t>em</w:t>
      </w:r>
      <w:r w:rsidRPr="002F4565">
        <w:rPr>
          <w:lang w:val="pt-BR"/>
        </w:rPr>
        <w:t xml:space="preserve"> </w:t>
      </w:r>
      <w:r w:rsidR="00995E88" w:rsidRPr="002F4565">
        <w:rPr>
          <w:lang w:val="pt-BR"/>
        </w:rPr>
        <w:t xml:space="preserve">instituições </w:t>
      </w:r>
      <w:r w:rsidR="003C09F9" w:rsidRPr="002F4565">
        <w:rPr>
          <w:lang w:val="pt-BR"/>
        </w:rPr>
        <w:t>públicas</w:t>
      </w:r>
      <w:r w:rsidRPr="002F4565">
        <w:rPr>
          <w:lang w:val="pt-BR"/>
        </w:rPr>
        <w:t xml:space="preserve"> </w:t>
      </w:r>
      <w:r w:rsidR="0049090C" w:rsidRPr="002F4565">
        <w:rPr>
          <w:lang w:val="pt-BR"/>
        </w:rPr>
        <w:t>e</w:t>
      </w:r>
      <w:r w:rsidRPr="002F4565">
        <w:rPr>
          <w:lang w:val="pt-BR"/>
        </w:rPr>
        <w:t xml:space="preserve"> </w:t>
      </w:r>
      <w:r w:rsidR="00995E88" w:rsidRPr="002F4565">
        <w:rPr>
          <w:lang w:val="pt-BR"/>
        </w:rPr>
        <w:t xml:space="preserve">monitoramento da </w:t>
      </w:r>
      <w:r w:rsidRPr="002F4565">
        <w:rPr>
          <w:lang w:val="pt-BR"/>
        </w:rPr>
        <w:t>transpar</w:t>
      </w:r>
      <w:r w:rsidR="003C09F9" w:rsidRPr="002F4565">
        <w:rPr>
          <w:lang w:val="pt-BR"/>
        </w:rPr>
        <w:t>ência</w:t>
      </w:r>
      <w:r w:rsidRPr="002F4565">
        <w:rPr>
          <w:lang w:val="pt-BR"/>
        </w:rPr>
        <w:t xml:space="preserve"> </w:t>
      </w:r>
      <w:r w:rsidR="00995E88" w:rsidRPr="002F4565">
        <w:rPr>
          <w:lang w:val="pt-BR"/>
        </w:rPr>
        <w:t xml:space="preserve">na </w:t>
      </w:r>
      <w:r w:rsidR="00072E1E" w:rsidRPr="002F4565">
        <w:rPr>
          <w:lang w:val="pt-BR"/>
        </w:rPr>
        <w:t>rotulagem</w:t>
      </w:r>
      <w:r w:rsidRPr="002F4565">
        <w:rPr>
          <w:lang w:val="pt-BR"/>
        </w:rPr>
        <w:t xml:space="preserve">, </w:t>
      </w:r>
      <w:r w:rsidR="00BC3868" w:rsidRPr="002F4565">
        <w:rPr>
          <w:lang w:val="pt-BR"/>
        </w:rPr>
        <w:t>publicidade</w:t>
      </w:r>
      <w:r w:rsidRPr="002F4565">
        <w:rPr>
          <w:lang w:val="pt-BR"/>
        </w:rPr>
        <w:t xml:space="preserve"> </w:t>
      </w:r>
      <w:r w:rsidR="003F41C2" w:rsidRPr="002F4565">
        <w:rPr>
          <w:lang w:val="pt-BR"/>
        </w:rPr>
        <w:t>ou</w:t>
      </w:r>
      <w:r w:rsidRPr="002F4565">
        <w:rPr>
          <w:lang w:val="pt-BR"/>
        </w:rPr>
        <w:t xml:space="preserve"> prom</w:t>
      </w:r>
      <w:r w:rsidR="00F21F55" w:rsidRPr="002F4565">
        <w:rPr>
          <w:lang w:val="pt-BR"/>
        </w:rPr>
        <w:t>oção</w:t>
      </w:r>
      <w:r w:rsidR="00995E88" w:rsidRPr="002F4565">
        <w:rPr>
          <w:lang w:val="pt-BR"/>
        </w:rPr>
        <w:t xml:space="preserve"> de alimentos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49. </w:t>
      </w:r>
      <w:r w:rsidR="00995E88" w:rsidRPr="002F4565">
        <w:rPr>
          <w:lang w:val="pt-BR"/>
        </w:rPr>
        <w:t xml:space="preserve">Os </w:t>
      </w:r>
      <w:r w:rsidR="0049090C"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7D4857" w:rsidRPr="002F4565">
        <w:rPr>
          <w:lang w:val="pt-BR"/>
        </w:rPr>
        <w:t>incentivar</w:t>
      </w:r>
      <w:r w:rsidRPr="002F4565">
        <w:rPr>
          <w:lang w:val="pt-BR"/>
        </w:rPr>
        <w:t xml:space="preserve"> </w:t>
      </w:r>
      <w:r w:rsidR="00B5729E" w:rsidRPr="002F4565">
        <w:rPr>
          <w:lang w:val="pt-BR"/>
        </w:rPr>
        <w:t>programas</w:t>
      </w:r>
      <w:r w:rsidRPr="002F4565">
        <w:rPr>
          <w:lang w:val="pt-BR"/>
        </w:rPr>
        <w:t xml:space="preserve"> </w:t>
      </w:r>
      <w:r w:rsidR="00995E88" w:rsidRPr="002F4565">
        <w:rPr>
          <w:lang w:val="pt-BR"/>
        </w:rPr>
        <w:t xml:space="preserve">comunitários de saúde sobre </w:t>
      </w:r>
      <w:r w:rsidR="0049090C" w:rsidRPr="002F4565">
        <w:rPr>
          <w:lang w:val="pt-BR"/>
        </w:rPr>
        <w:t>DNTs relacionadas com a dieta</w:t>
      </w:r>
      <w:r w:rsidRPr="002F4565">
        <w:rPr>
          <w:lang w:val="pt-BR"/>
        </w:rPr>
        <w:t xml:space="preserve">, </w:t>
      </w:r>
      <w:r w:rsidR="00995E88" w:rsidRPr="002F4565">
        <w:rPr>
          <w:lang w:val="pt-BR"/>
        </w:rPr>
        <w:t xml:space="preserve">tais como a </w:t>
      </w:r>
      <w:r w:rsidRPr="002F4565">
        <w:rPr>
          <w:lang w:val="pt-BR"/>
        </w:rPr>
        <w:t>educ</w:t>
      </w:r>
      <w:r w:rsidR="00F21F55" w:rsidRPr="002F4565">
        <w:rPr>
          <w:lang w:val="pt-BR"/>
        </w:rPr>
        <w:t>ação</w:t>
      </w:r>
      <w:r w:rsidR="00995E88" w:rsidRPr="002F4565">
        <w:rPr>
          <w:lang w:val="pt-BR"/>
        </w:rPr>
        <w:t xml:space="preserve"> entre pares</w:t>
      </w:r>
      <w:r w:rsidRPr="002F4565">
        <w:rPr>
          <w:lang w:val="pt-BR"/>
        </w:rPr>
        <w:t xml:space="preserve">, </w:t>
      </w:r>
      <w:r w:rsidR="00995E88" w:rsidRPr="002F4565">
        <w:rPr>
          <w:lang w:val="pt-BR"/>
        </w:rPr>
        <w:t xml:space="preserve">iniciativas de jardinagem e cozinha na </w:t>
      </w:r>
      <w:r w:rsidR="002E1AA7" w:rsidRPr="002F4565">
        <w:rPr>
          <w:lang w:val="pt-BR"/>
        </w:rPr>
        <w:t>comunidade</w:t>
      </w:r>
      <w:r w:rsidRPr="002F4565">
        <w:rPr>
          <w:lang w:val="pt-BR"/>
        </w:rPr>
        <w:t xml:space="preserve"> </w:t>
      </w:r>
      <w:r w:rsidR="003F41C2" w:rsidRPr="002F4565">
        <w:rPr>
          <w:lang w:val="pt-BR"/>
        </w:rPr>
        <w:t>ou</w:t>
      </w:r>
      <w:r w:rsidRPr="002F4565">
        <w:rPr>
          <w:lang w:val="pt-BR"/>
        </w:rPr>
        <w:t xml:space="preserve"> </w:t>
      </w:r>
      <w:r w:rsidR="00995E88" w:rsidRPr="002F4565">
        <w:rPr>
          <w:lang w:val="pt-BR"/>
        </w:rPr>
        <w:t xml:space="preserve">iniciativas de alimentação </w:t>
      </w:r>
      <w:r w:rsidR="005A25F5" w:rsidRPr="002F4565">
        <w:rPr>
          <w:lang w:val="pt-BR"/>
        </w:rPr>
        <w:t>saudável</w:t>
      </w:r>
      <w:r w:rsidRPr="002F4565">
        <w:rPr>
          <w:lang w:val="pt-BR"/>
        </w:rPr>
        <w:t xml:space="preserve"> </w:t>
      </w:r>
      <w:r w:rsidR="00995E88" w:rsidRPr="002F4565">
        <w:rPr>
          <w:lang w:val="pt-BR"/>
        </w:rPr>
        <w:t xml:space="preserve">baseadas nas </w:t>
      </w:r>
      <w:r w:rsidR="00072E1E" w:rsidRPr="002F4565">
        <w:rPr>
          <w:lang w:val="pt-BR"/>
        </w:rPr>
        <w:t>escola</w:t>
      </w:r>
      <w:r w:rsidRPr="002F4565">
        <w:rPr>
          <w:lang w:val="pt-BR"/>
        </w:rPr>
        <w:t xml:space="preserve">s, </w:t>
      </w:r>
      <w:r w:rsidR="00995E88" w:rsidRPr="002F4565">
        <w:rPr>
          <w:lang w:val="pt-BR"/>
        </w:rPr>
        <w:t>ambientes de trabalho</w:t>
      </w:r>
      <w:r w:rsidRPr="002F4565">
        <w:rPr>
          <w:lang w:val="pt-BR"/>
        </w:rPr>
        <w:t xml:space="preserve">, </w:t>
      </w:r>
      <w:r w:rsidR="00995E88" w:rsidRPr="002F4565">
        <w:rPr>
          <w:lang w:val="pt-BR"/>
        </w:rPr>
        <w:t xml:space="preserve">centros de atendimento primário de </w:t>
      </w:r>
      <w:r w:rsidR="0049090C" w:rsidRPr="002F4565">
        <w:rPr>
          <w:lang w:val="pt-BR"/>
        </w:rPr>
        <w:t>saúde</w:t>
      </w:r>
      <w:r w:rsidR="00995E88" w:rsidRPr="002F4565">
        <w:rPr>
          <w:lang w:val="pt-BR"/>
        </w:rPr>
        <w:t xml:space="preserve"> </w:t>
      </w:r>
      <w:r w:rsidR="003F41C2" w:rsidRPr="002F4565">
        <w:rPr>
          <w:lang w:val="pt-BR"/>
        </w:rPr>
        <w:t>ou</w:t>
      </w:r>
      <w:r w:rsidRPr="002F4565">
        <w:rPr>
          <w:lang w:val="pt-BR"/>
        </w:rPr>
        <w:t xml:space="preserve"> </w:t>
      </w:r>
      <w:r w:rsidR="00995E88" w:rsidRPr="002F4565">
        <w:rPr>
          <w:lang w:val="pt-BR"/>
        </w:rPr>
        <w:t xml:space="preserve">fornecedores de </w:t>
      </w:r>
      <w:r w:rsidR="0049090C" w:rsidRPr="002F4565">
        <w:rPr>
          <w:lang w:val="pt-BR"/>
        </w:rPr>
        <w:t>alimento</w:t>
      </w:r>
      <w:r w:rsidR="00995E88" w:rsidRPr="002F4565">
        <w:rPr>
          <w:lang w:val="pt-BR"/>
        </w:rPr>
        <w:t>s</w:t>
      </w:r>
      <w:r w:rsidRPr="002F4565">
        <w:rPr>
          <w:lang w:val="pt-BR"/>
        </w:rPr>
        <w:t xml:space="preserve">. </w:t>
      </w:r>
      <w:r w:rsidR="00995E88" w:rsidRPr="002F4565">
        <w:rPr>
          <w:lang w:val="pt-BR"/>
        </w:rPr>
        <w:t xml:space="preserve">Como o enfoque dos </w:t>
      </w:r>
      <w:r w:rsidR="006A31E1" w:rsidRPr="002F4565">
        <w:rPr>
          <w:lang w:val="pt-BR"/>
        </w:rPr>
        <w:t>fatores de risco</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DNT</w:t>
      </w:r>
      <w:r w:rsidRPr="002F4565">
        <w:rPr>
          <w:lang w:val="pt-BR"/>
        </w:rPr>
        <w:t xml:space="preserve">s </w:t>
      </w:r>
      <w:r w:rsidR="00995E88" w:rsidRPr="002F4565">
        <w:rPr>
          <w:lang w:val="pt-BR"/>
        </w:rPr>
        <w:t>e</w:t>
      </w:r>
      <w:r w:rsidRPr="002F4565">
        <w:rPr>
          <w:lang w:val="pt-BR"/>
        </w:rPr>
        <w:t xml:space="preserve">nvolve </w:t>
      </w:r>
      <w:r w:rsidR="00995E88" w:rsidRPr="002F4565">
        <w:rPr>
          <w:lang w:val="pt-BR"/>
        </w:rPr>
        <w:t>mudança comportamental de longo prazo</w:t>
      </w:r>
      <w:r w:rsidRPr="002F4565">
        <w:rPr>
          <w:lang w:val="pt-BR"/>
        </w:rPr>
        <w:t xml:space="preserve">, </w:t>
      </w:r>
      <w:r w:rsidR="00995E88" w:rsidRPr="002F4565">
        <w:rPr>
          <w:lang w:val="pt-BR"/>
        </w:rPr>
        <w:t xml:space="preserve">a responsabilidade das </w:t>
      </w:r>
      <w:r w:rsidR="0049090C" w:rsidRPr="002F4565">
        <w:rPr>
          <w:lang w:val="pt-BR"/>
        </w:rPr>
        <w:t>políticas</w:t>
      </w:r>
      <w:r w:rsidRPr="002F4565">
        <w:rPr>
          <w:lang w:val="pt-BR"/>
        </w:rPr>
        <w:t xml:space="preserve"> </w:t>
      </w:r>
      <w:r w:rsidR="00995E88" w:rsidRPr="002F4565">
        <w:rPr>
          <w:lang w:val="pt-BR"/>
        </w:rPr>
        <w:t xml:space="preserve">de saúde nas </w:t>
      </w:r>
      <w:r w:rsidR="00140D97" w:rsidRPr="002F4565">
        <w:rPr>
          <w:lang w:val="pt-BR"/>
        </w:rPr>
        <w:t>comunidades</w:t>
      </w:r>
      <w:r w:rsidRPr="002F4565">
        <w:rPr>
          <w:lang w:val="pt-BR"/>
        </w:rPr>
        <w:t xml:space="preserve"> </w:t>
      </w:r>
      <w:r w:rsidR="00995E88" w:rsidRPr="002F4565">
        <w:rPr>
          <w:lang w:val="pt-BR"/>
        </w:rPr>
        <w:t xml:space="preserve">locais pode </w:t>
      </w:r>
      <w:r w:rsidR="006A31E1" w:rsidRPr="002F4565">
        <w:rPr>
          <w:lang w:val="pt-BR"/>
        </w:rPr>
        <w:t>garantir</w:t>
      </w:r>
      <w:r w:rsidRPr="002F4565">
        <w:rPr>
          <w:lang w:val="pt-BR"/>
        </w:rPr>
        <w:t xml:space="preserve"> </w:t>
      </w:r>
      <w:r w:rsidR="00261A8A" w:rsidRPr="002F4565">
        <w:rPr>
          <w:lang w:val="pt-BR"/>
        </w:rPr>
        <w:t>o</w:t>
      </w:r>
      <w:r w:rsidRPr="002F4565">
        <w:rPr>
          <w:lang w:val="pt-BR"/>
        </w:rPr>
        <w:t xml:space="preserve"> sucess</w:t>
      </w:r>
      <w:r w:rsidR="00995E88" w:rsidRPr="002F4565">
        <w:rPr>
          <w:lang w:val="pt-BR"/>
        </w:rPr>
        <w:t>o</w:t>
      </w:r>
      <w:r w:rsidRPr="002F4565">
        <w:rPr>
          <w:lang w:val="pt-BR"/>
        </w:rPr>
        <w:t xml:space="preserve"> </w:t>
      </w:r>
      <w:r w:rsidR="0049090C" w:rsidRPr="002F4565">
        <w:rPr>
          <w:lang w:val="pt-BR"/>
        </w:rPr>
        <w:t>e</w:t>
      </w:r>
      <w:r w:rsidRPr="002F4565">
        <w:rPr>
          <w:lang w:val="pt-BR"/>
        </w:rPr>
        <w:t xml:space="preserve"> sust</w:t>
      </w:r>
      <w:r w:rsidR="00995E88" w:rsidRPr="002F4565">
        <w:rPr>
          <w:lang w:val="pt-BR"/>
        </w:rPr>
        <w:t xml:space="preserve">entabilidade dos programas nutricionais e preventivos de </w:t>
      </w:r>
      <w:r w:rsidR="0049090C" w:rsidRPr="002F4565">
        <w:rPr>
          <w:lang w:val="pt-BR"/>
        </w:rPr>
        <w:t>saúde</w:t>
      </w:r>
      <w:r w:rsidRPr="002F4565">
        <w:rPr>
          <w:lang w:val="pt-BR"/>
        </w:rPr>
        <w:t xml:space="preserve">. </w:t>
      </w:r>
      <w:r w:rsidR="00995E88" w:rsidRPr="002F4565">
        <w:rPr>
          <w:lang w:val="pt-BR"/>
        </w:rPr>
        <w:t xml:space="preserve">A </w:t>
      </w:r>
      <w:r w:rsidRPr="002F4565">
        <w:rPr>
          <w:lang w:val="pt-BR"/>
        </w:rPr>
        <w:t>particip</w:t>
      </w:r>
      <w:r w:rsidR="00F21F55" w:rsidRPr="002F4565">
        <w:rPr>
          <w:lang w:val="pt-BR"/>
        </w:rPr>
        <w:t>ação</w:t>
      </w:r>
      <w:r w:rsidRPr="002F4565">
        <w:rPr>
          <w:lang w:val="pt-BR"/>
        </w:rPr>
        <w:t xml:space="preserve"> </w:t>
      </w:r>
      <w:r w:rsidR="0049090C" w:rsidRPr="002F4565">
        <w:rPr>
          <w:lang w:val="pt-BR"/>
        </w:rPr>
        <w:t>de</w:t>
      </w:r>
      <w:r w:rsidRPr="002F4565">
        <w:rPr>
          <w:lang w:val="pt-BR"/>
        </w:rPr>
        <w:t xml:space="preserve"> </w:t>
      </w:r>
      <w:r w:rsidR="00140D97" w:rsidRPr="002F4565">
        <w:rPr>
          <w:lang w:val="pt-BR"/>
        </w:rPr>
        <w:t>comunidades</w:t>
      </w:r>
      <w:r w:rsidRPr="002F4565">
        <w:rPr>
          <w:lang w:val="pt-BR"/>
        </w:rPr>
        <w:t xml:space="preserve"> </w:t>
      </w:r>
      <w:r w:rsidR="00995E88" w:rsidRPr="002F4565">
        <w:rPr>
          <w:lang w:val="pt-BR"/>
        </w:rPr>
        <w:t xml:space="preserve">locais garante </w:t>
      </w:r>
      <w:r w:rsidR="006A31E1" w:rsidRPr="002F4565">
        <w:rPr>
          <w:lang w:val="pt-BR"/>
        </w:rPr>
        <w:t>que</w:t>
      </w:r>
      <w:r w:rsidRPr="002F4565">
        <w:rPr>
          <w:lang w:val="pt-BR"/>
        </w:rPr>
        <w:t xml:space="preserve"> </w:t>
      </w:r>
      <w:r w:rsidR="0049090C" w:rsidRPr="002F4565">
        <w:rPr>
          <w:lang w:val="pt-BR"/>
        </w:rPr>
        <w:t>políticas</w:t>
      </w:r>
      <w:r w:rsidRPr="002F4565">
        <w:rPr>
          <w:lang w:val="pt-BR"/>
        </w:rPr>
        <w:t xml:space="preserve"> </w:t>
      </w:r>
      <w:r w:rsidR="0049090C" w:rsidRPr="002F4565">
        <w:rPr>
          <w:lang w:val="pt-BR"/>
        </w:rPr>
        <w:t>e</w:t>
      </w:r>
      <w:r w:rsidRPr="002F4565">
        <w:rPr>
          <w:lang w:val="pt-BR"/>
        </w:rPr>
        <w:t xml:space="preserve"> </w:t>
      </w:r>
      <w:r w:rsidR="00B5729E" w:rsidRPr="002F4565">
        <w:rPr>
          <w:lang w:val="pt-BR"/>
        </w:rPr>
        <w:t>programas</w:t>
      </w:r>
      <w:r w:rsidRPr="002F4565">
        <w:rPr>
          <w:lang w:val="pt-BR"/>
        </w:rPr>
        <w:t xml:space="preserve"> </w:t>
      </w:r>
      <w:r w:rsidR="00995E88" w:rsidRPr="002F4565">
        <w:rPr>
          <w:lang w:val="pt-BR"/>
        </w:rPr>
        <w:t xml:space="preserve">de saúde serão mais ajustados às suas necessidades de </w:t>
      </w:r>
      <w:r w:rsidR="0049090C" w:rsidRPr="002F4565">
        <w:rPr>
          <w:lang w:val="pt-BR"/>
        </w:rPr>
        <w:t>saúde</w:t>
      </w:r>
      <w:r w:rsidRPr="002F4565">
        <w:rPr>
          <w:lang w:val="pt-BR"/>
        </w:rPr>
        <w:t>. Inclu</w:t>
      </w:r>
      <w:r w:rsidR="00995E88" w:rsidRPr="002F4565">
        <w:rPr>
          <w:lang w:val="pt-BR"/>
        </w:rPr>
        <w:t xml:space="preserve">ir o envolvimento das </w:t>
      </w:r>
      <w:r w:rsidR="00802E44" w:rsidRPr="002F4565">
        <w:rPr>
          <w:lang w:val="pt-BR"/>
        </w:rPr>
        <w:t>crianças</w:t>
      </w:r>
      <w:r w:rsidR="00995E88" w:rsidRPr="002F4565">
        <w:rPr>
          <w:lang w:val="pt-BR"/>
        </w:rPr>
        <w:t xml:space="preserve"> </w:t>
      </w:r>
      <w:r w:rsidR="0049090C" w:rsidRPr="002F4565">
        <w:rPr>
          <w:lang w:val="pt-BR"/>
        </w:rPr>
        <w:t>e</w:t>
      </w:r>
      <w:r w:rsidRPr="002F4565">
        <w:rPr>
          <w:lang w:val="pt-BR"/>
        </w:rPr>
        <w:t xml:space="preserve"> </w:t>
      </w:r>
      <w:r w:rsidR="00995E88" w:rsidRPr="002F4565">
        <w:rPr>
          <w:lang w:val="pt-BR"/>
        </w:rPr>
        <w:t xml:space="preserve">informações nos programas de almoço nas </w:t>
      </w:r>
      <w:r w:rsidR="00072E1E" w:rsidRPr="002F4565">
        <w:rPr>
          <w:lang w:val="pt-BR"/>
        </w:rPr>
        <w:t>escola</w:t>
      </w:r>
      <w:r w:rsidR="00995E88" w:rsidRPr="002F4565">
        <w:rPr>
          <w:lang w:val="pt-BR"/>
        </w:rPr>
        <w:t>s</w:t>
      </w:r>
      <w:r w:rsidRPr="002F4565">
        <w:rPr>
          <w:lang w:val="pt-BR"/>
        </w:rPr>
        <w:t xml:space="preserve"> </w:t>
      </w:r>
      <w:r w:rsidR="00995E88" w:rsidRPr="002F4565">
        <w:rPr>
          <w:lang w:val="pt-BR"/>
        </w:rPr>
        <w:t xml:space="preserve">pode ajudar a identificar </w:t>
      </w:r>
      <w:r w:rsidR="00F21F55" w:rsidRPr="002F4565">
        <w:rPr>
          <w:lang w:val="pt-BR"/>
        </w:rPr>
        <w:t>opções</w:t>
      </w:r>
      <w:r w:rsidRPr="002F4565">
        <w:rPr>
          <w:lang w:val="pt-BR"/>
        </w:rPr>
        <w:t xml:space="preserve"> </w:t>
      </w:r>
      <w:r w:rsidR="005A25F5" w:rsidRPr="002F4565">
        <w:rPr>
          <w:lang w:val="pt-BR"/>
        </w:rPr>
        <w:t>saudáve</w:t>
      </w:r>
      <w:r w:rsidR="00995E88" w:rsidRPr="002F4565">
        <w:rPr>
          <w:lang w:val="pt-BR"/>
        </w:rPr>
        <w:t xml:space="preserve">is e atraentes para as </w:t>
      </w:r>
      <w:r w:rsidR="00802E44" w:rsidRPr="002F4565">
        <w:rPr>
          <w:lang w:val="pt-BR"/>
        </w:rPr>
        <w:t>crianças</w:t>
      </w:r>
      <w:r w:rsidRPr="002F4565">
        <w:rPr>
          <w:lang w:val="pt-BR"/>
        </w:rPr>
        <w:t xml:space="preserve"> </w:t>
      </w:r>
      <w:r w:rsidR="0049090C" w:rsidRPr="002F4565">
        <w:rPr>
          <w:lang w:val="pt-BR"/>
        </w:rPr>
        <w:t>e</w:t>
      </w:r>
      <w:r w:rsidRPr="002F4565">
        <w:rPr>
          <w:lang w:val="pt-BR"/>
        </w:rPr>
        <w:t xml:space="preserve"> </w:t>
      </w:r>
      <w:r w:rsidR="00995E88" w:rsidRPr="002F4565">
        <w:rPr>
          <w:lang w:val="pt-BR"/>
        </w:rPr>
        <w:t xml:space="preserve">em geral demonstra </w:t>
      </w:r>
      <w:r w:rsidR="006A31E1" w:rsidRPr="002F4565">
        <w:rPr>
          <w:lang w:val="pt-BR"/>
        </w:rPr>
        <w:t>que</w:t>
      </w:r>
      <w:r w:rsidRPr="002F4565">
        <w:rPr>
          <w:lang w:val="pt-BR"/>
        </w:rPr>
        <w:t xml:space="preserve"> </w:t>
      </w:r>
      <w:r w:rsidR="00995E88" w:rsidRPr="002F4565">
        <w:rPr>
          <w:lang w:val="pt-BR"/>
        </w:rPr>
        <w:t>a</w:t>
      </w:r>
      <w:r w:rsidRPr="002F4565">
        <w:rPr>
          <w:lang w:val="pt-BR"/>
        </w:rPr>
        <w:t xml:space="preserve"> perce</w:t>
      </w:r>
      <w:r w:rsidR="003A41FB" w:rsidRPr="002F4565">
        <w:rPr>
          <w:lang w:val="pt-BR"/>
        </w:rPr>
        <w:t>pção</w:t>
      </w:r>
      <w:r w:rsidRPr="002F4565">
        <w:rPr>
          <w:lang w:val="pt-BR"/>
        </w:rPr>
        <w:t xml:space="preserve"> </w:t>
      </w:r>
      <w:r w:rsidR="00A2434B" w:rsidRPr="002F4565">
        <w:rPr>
          <w:lang w:val="pt-BR"/>
        </w:rPr>
        <w:t xml:space="preserve">de </w:t>
      </w:r>
      <w:r w:rsidR="006A31E1" w:rsidRPr="002F4565">
        <w:rPr>
          <w:lang w:val="pt-BR"/>
        </w:rPr>
        <w:t>que</w:t>
      </w:r>
      <w:r w:rsidRPr="002F4565">
        <w:rPr>
          <w:lang w:val="pt-BR"/>
        </w:rPr>
        <w:t xml:space="preserve"> </w:t>
      </w:r>
      <w:r w:rsidR="00995E88" w:rsidRPr="002F4565">
        <w:rPr>
          <w:lang w:val="pt-BR"/>
        </w:rPr>
        <w:t xml:space="preserve">as </w:t>
      </w:r>
      <w:r w:rsidR="00802E44" w:rsidRPr="002F4565">
        <w:rPr>
          <w:lang w:val="pt-BR"/>
        </w:rPr>
        <w:t>crianças</w:t>
      </w:r>
      <w:r w:rsidRPr="002F4565">
        <w:rPr>
          <w:lang w:val="pt-BR"/>
        </w:rPr>
        <w:t xml:space="preserve"> prefer</w:t>
      </w:r>
      <w:r w:rsidR="00995E88" w:rsidRPr="002F4565">
        <w:rPr>
          <w:lang w:val="pt-BR"/>
        </w:rPr>
        <w:t>em</w:t>
      </w:r>
      <w:r w:rsidRPr="002F4565">
        <w:rPr>
          <w:lang w:val="pt-BR"/>
        </w:rPr>
        <w:t xml:space="preserve"> </w:t>
      </w:r>
      <w:r w:rsidR="00F21F55" w:rsidRPr="002F4565">
        <w:rPr>
          <w:lang w:val="pt-BR"/>
        </w:rPr>
        <w:t>opções</w:t>
      </w:r>
      <w:r w:rsidRPr="002F4565">
        <w:rPr>
          <w:lang w:val="pt-BR"/>
        </w:rPr>
        <w:t xml:space="preserve"> </w:t>
      </w:r>
      <w:r w:rsidR="00995E88" w:rsidRPr="002F4565">
        <w:rPr>
          <w:lang w:val="pt-BR"/>
        </w:rPr>
        <w:t xml:space="preserve">não saudáveis </w:t>
      </w:r>
      <w:r w:rsidR="005A25F5" w:rsidRPr="002F4565">
        <w:rPr>
          <w:lang w:val="pt-BR"/>
        </w:rPr>
        <w:t>é</w:t>
      </w:r>
      <w:r w:rsidRPr="002F4565">
        <w:rPr>
          <w:lang w:val="pt-BR"/>
        </w:rPr>
        <w:t xml:space="preserve"> </w:t>
      </w:r>
      <w:proofErr w:type="gramStart"/>
      <w:r w:rsidRPr="002F4565">
        <w:rPr>
          <w:lang w:val="pt-BR"/>
        </w:rPr>
        <w:t>i</w:t>
      </w:r>
      <w:r w:rsidR="00995E88" w:rsidRPr="002F4565">
        <w:rPr>
          <w:lang w:val="pt-BR"/>
        </w:rPr>
        <w:t>m</w:t>
      </w:r>
      <w:r w:rsidR="00C47496" w:rsidRPr="002F4565">
        <w:rPr>
          <w:lang w:val="pt-BR"/>
        </w:rPr>
        <w:t>precisa</w:t>
      </w:r>
      <w:r w:rsidRPr="002F4565">
        <w:rPr>
          <w:lang w:val="pt-BR"/>
        </w:rPr>
        <w:t>.</w:t>
      </w:r>
      <w:proofErr w:type="gramEnd"/>
      <w:r w:rsidRPr="002F4565">
        <w:rPr>
          <w:vertAlign w:val="superscript"/>
          <w:lang w:val="pt-BR"/>
        </w:rPr>
        <w:t>72</w:t>
      </w:r>
      <w:r w:rsidRPr="002F4565">
        <w:rPr>
          <w:lang w:val="pt-BR"/>
        </w:rPr>
        <w:t xml:space="preserve"> </w:t>
      </w:r>
      <w:r w:rsidR="00995E88" w:rsidRPr="002F4565">
        <w:rPr>
          <w:lang w:val="pt-BR"/>
        </w:rPr>
        <w:t xml:space="preserve">A </w:t>
      </w:r>
      <w:r w:rsidRPr="002F4565">
        <w:rPr>
          <w:lang w:val="pt-BR"/>
        </w:rPr>
        <w:t>particip</w:t>
      </w:r>
      <w:r w:rsidR="00F21F55" w:rsidRPr="002F4565">
        <w:rPr>
          <w:lang w:val="pt-BR"/>
        </w:rPr>
        <w:t>ação</w:t>
      </w:r>
      <w:r w:rsidRPr="002F4565">
        <w:rPr>
          <w:lang w:val="pt-BR"/>
        </w:rPr>
        <w:t xml:space="preserve"> </w:t>
      </w:r>
      <w:r w:rsidR="00995E88" w:rsidRPr="002F4565">
        <w:rPr>
          <w:lang w:val="pt-BR"/>
        </w:rPr>
        <w:t xml:space="preserve">local dos residentes </w:t>
      </w:r>
      <w:r w:rsidR="0049090C" w:rsidRPr="002F4565">
        <w:rPr>
          <w:lang w:val="pt-BR"/>
        </w:rPr>
        <w:t>de</w:t>
      </w:r>
      <w:r w:rsidRPr="002F4565">
        <w:rPr>
          <w:lang w:val="pt-BR"/>
        </w:rPr>
        <w:t xml:space="preserve"> </w:t>
      </w:r>
      <w:r w:rsidR="00995E88" w:rsidRPr="002F4565">
        <w:rPr>
          <w:lang w:val="pt-BR"/>
        </w:rPr>
        <w:t xml:space="preserve">áreas de </w:t>
      </w:r>
      <w:r w:rsidR="00802E44" w:rsidRPr="002F4565">
        <w:rPr>
          <w:lang w:val="pt-BR"/>
        </w:rPr>
        <w:t>baixa renda</w:t>
      </w:r>
      <w:r w:rsidRPr="002F4565">
        <w:rPr>
          <w:lang w:val="pt-BR"/>
        </w:rPr>
        <w:t xml:space="preserve"> </w:t>
      </w:r>
      <w:r w:rsidR="000E48EB" w:rsidRPr="002F4565">
        <w:rPr>
          <w:lang w:val="pt-BR"/>
        </w:rPr>
        <w:t>pode</w:t>
      </w:r>
      <w:r w:rsidRPr="002F4565">
        <w:rPr>
          <w:lang w:val="pt-BR"/>
        </w:rPr>
        <w:t xml:space="preserve"> </w:t>
      </w:r>
      <w:r w:rsidR="00995E88" w:rsidRPr="002F4565">
        <w:rPr>
          <w:lang w:val="pt-BR"/>
        </w:rPr>
        <w:t xml:space="preserve">ajudar a fornecer uma avaliação </w:t>
      </w:r>
      <w:r w:rsidR="0049090C" w:rsidRPr="002F4565">
        <w:rPr>
          <w:lang w:val="pt-BR"/>
        </w:rPr>
        <w:t>d</w:t>
      </w:r>
      <w:r w:rsidR="00995E88" w:rsidRPr="002F4565">
        <w:rPr>
          <w:lang w:val="pt-BR"/>
        </w:rPr>
        <w:t>os</w:t>
      </w:r>
      <w:r w:rsidRPr="002F4565">
        <w:rPr>
          <w:lang w:val="pt-BR"/>
        </w:rPr>
        <w:t xml:space="preserve"> </w:t>
      </w:r>
      <w:r w:rsidR="00261A8A" w:rsidRPr="002F4565">
        <w:rPr>
          <w:lang w:val="pt-BR"/>
        </w:rPr>
        <w:t>alimentos</w:t>
      </w:r>
      <w:r w:rsidRPr="002F4565">
        <w:rPr>
          <w:lang w:val="pt-BR"/>
        </w:rPr>
        <w:t xml:space="preserve"> </w:t>
      </w:r>
      <w:r w:rsidR="00B5729E" w:rsidRPr="002F4565">
        <w:rPr>
          <w:lang w:val="pt-BR"/>
        </w:rPr>
        <w:t>disponíveis</w:t>
      </w:r>
      <w:r w:rsidRPr="002F4565">
        <w:rPr>
          <w:lang w:val="pt-BR"/>
        </w:rPr>
        <w:t xml:space="preserve"> </w:t>
      </w:r>
      <w:r w:rsidR="00995E88" w:rsidRPr="002F4565">
        <w:rPr>
          <w:lang w:val="pt-BR"/>
        </w:rPr>
        <w:t xml:space="preserve">naquelas </w:t>
      </w:r>
      <w:r w:rsidR="007D4857" w:rsidRPr="002F4565">
        <w:rPr>
          <w:lang w:val="pt-BR"/>
        </w:rPr>
        <w:t>áreas</w:t>
      </w:r>
      <w:r w:rsidR="00995E88" w:rsidRPr="002F4565">
        <w:rPr>
          <w:lang w:val="pt-BR"/>
        </w:rPr>
        <w:t>,</w:t>
      </w:r>
      <w:r w:rsidRPr="002F4565">
        <w:rPr>
          <w:lang w:val="pt-BR"/>
        </w:rPr>
        <w:t xml:space="preserve"> </w:t>
      </w:r>
      <w:r w:rsidR="00995E88" w:rsidRPr="002F4565">
        <w:rPr>
          <w:lang w:val="pt-BR"/>
        </w:rPr>
        <w:t xml:space="preserve">de maneira a refletir melhor as </w:t>
      </w:r>
      <w:r w:rsidRPr="002F4565">
        <w:rPr>
          <w:lang w:val="pt-BR"/>
        </w:rPr>
        <w:t>experi</w:t>
      </w:r>
      <w:r w:rsidR="007E67D2" w:rsidRPr="002F4565">
        <w:rPr>
          <w:lang w:val="pt-BR"/>
        </w:rPr>
        <w:t>ência</w:t>
      </w:r>
      <w:r w:rsidRPr="002F4565">
        <w:rPr>
          <w:lang w:val="pt-BR"/>
        </w:rPr>
        <w:t xml:space="preserve">s </w:t>
      </w:r>
      <w:r w:rsidR="00995E88" w:rsidRPr="002F4565">
        <w:rPr>
          <w:lang w:val="pt-BR"/>
        </w:rPr>
        <w:t xml:space="preserve">cotidianas dos </w:t>
      </w:r>
      <w:r w:rsidRPr="002F4565">
        <w:rPr>
          <w:lang w:val="pt-BR"/>
        </w:rPr>
        <w:t>resident</w:t>
      </w:r>
      <w:r w:rsidR="00995E88" w:rsidRPr="002F4565">
        <w:rPr>
          <w:lang w:val="pt-BR"/>
        </w:rPr>
        <w:t>e</w:t>
      </w:r>
      <w:r w:rsidRPr="002F4565">
        <w:rPr>
          <w:lang w:val="pt-BR"/>
        </w:rPr>
        <w:t xml:space="preserve">s </w:t>
      </w:r>
      <w:r w:rsidR="00995E88" w:rsidRPr="002F4565">
        <w:rPr>
          <w:lang w:val="pt-BR"/>
        </w:rPr>
        <w:t xml:space="preserve">do que as pesquisas formuladas por </w:t>
      </w:r>
      <w:r w:rsidRPr="002F4565">
        <w:rPr>
          <w:lang w:val="pt-BR"/>
        </w:rPr>
        <w:t>e</w:t>
      </w:r>
      <w:r w:rsidR="00995E88" w:rsidRPr="002F4565">
        <w:rPr>
          <w:lang w:val="pt-BR"/>
        </w:rPr>
        <w:t xml:space="preserve">specialistas seriam capazes </w:t>
      </w:r>
      <w:r w:rsidR="004069A0" w:rsidRPr="002F4565">
        <w:rPr>
          <w:lang w:val="pt-BR"/>
        </w:rPr>
        <w:t>de estabelecer</w:t>
      </w:r>
      <w:r w:rsidRPr="002F4565">
        <w:rPr>
          <w:lang w:val="pt-BR"/>
        </w:rPr>
        <w:t xml:space="preserve">. </w:t>
      </w:r>
      <w:r w:rsidR="004069A0" w:rsidRPr="002F4565">
        <w:rPr>
          <w:lang w:val="pt-BR"/>
        </w:rPr>
        <w:t>De maneira semelhante</w:t>
      </w:r>
      <w:r w:rsidRPr="002F4565">
        <w:rPr>
          <w:lang w:val="pt-BR"/>
        </w:rPr>
        <w:t xml:space="preserve">, </w:t>
      </w:r>
      <w:r w:rsidR="004069A0" w:rsidRPr="002F4565">
        <w:rPr>
          <w:lang w:val="pt-BR"/>
        </w:rPr>
        <w:t xml:space="preserve">educar </w:t>
      </w:r>
      <w:r w:rsidR="0049090C" w:rsidRPr="002F4565">
        <w:rPr>
          <w:lang w:val="pt-BR"/>
        </w:rPr>
        <w:t>e</w:t>
      </w:r>
      <w:r w:rsidRPr="002F4565">
        <w:rPr>
          <w:lang w:val="pt-BR"/>
        </w:rPr>
        <w:t xml:space="preserve"> </w:t>
      </w:r>
      <w:r w:rsidR="004069A0" w:rsidRPr="002F4565">
        <w:rPr>
          <w:lang w:val="pt-BR"/>
        </w:rPr>
        <w:t xml:space="preserve">envolver </w:t>
      </w:r>
      <w:r w:rsidR="002E1AA7" w:rsidRPr="002F4565">
        <w:rPr>
          <w:lang w:val="pt-BR"/>
        </w:rPr>
        <w:t>consumidores</w:t>
      </w:r>
      <w:r w:rsidRPr="002F4565">
        <w:rPr>
          <w:lang w:val="pt-BR"/>
        </w:rPr>
        <w:t xml:space="preserve"> </w:t>
      </w:r>
      <w:r w:rsidR="0049090C" w:rsidRPr="002F4565">
        <w:rPr>
          <w:lang w:val="pt-BR"/>
        </w:rPr>
        <w:t>e</w:t>
      </w:r>
      <w:r w:rsidRPr="002F4565">
        <w:rPr>
          <w:lang w:val="pt-BR"/>
        </w:rPr>
        <w:t xml:space="preserve"> </w:t>
      </w:r>
      <w:r w:rsidR="004069A0" w:rsidRPr="002F4565">
        <w:rPr>
          <w:lang w:val="pt-BR"/>
        </w:rPr>
        <w:t xml:space="preserve">fornecedores de </w:t>
      </w:r>
      <w:r w:rsidR="0049090C" w:rsidRPr="002F4565">
        <w:rPr>
          <w:lang w:val="pt-BR"/>
        </w:rPr>
        <w:t>alimento</w:t>
      </w:r>
      <w:r w:rsidR="004069A0" w:rsidRPr="002F4565">
        <w:rPr>
          <w:lang w:val="pt-BR"/>
        </w:rPr>
        <w:t xml:space="preserve">s do setor informal nos programas de </w:t>
      </w:r>
      <w:r w:rsidR="0049090C" w:rsidRPr="002F4565">
        <w:rPr>
          <w:lang w:val="pt-BR"/>
        </w:rPr>
        <w:lastRenderedPageBreak/>
        <w:t>alimento</w:t>
      </w:r>
      <w:r w:rsidR="004069A0" w:rsidRPr="002F4565">
        <w:rPr>
          <w:lang w:val="pt-BR"/>
        </w:rPr>
        <w:t>s</w:t>
      </w:r>
      <w:r w:rsidRPr="002F4565">
        <w:rPr>
          <w:lang w:val="pt-BR"/>
        </w:rPr>
        <w:t xml:space="preserve"> </w:t>
      </w:r>
      <w:r w:rsidR="004069A0" w:rsidRPr="002F4565">
        <w:rPr>
          <w:lang w:val="pt-BR"/>
        </w:rPr>
        <w:t xml:space="preserve">saudáveis pode melhorar a </w:t>
      </w:r>
      <w:r w:rsidR="003F41C2" w:rsidRPr="002F4565">
        <w:rPr>
          <w:lang w:val="pt-BR"/>
        </w:rPr>
        <w:t>nutrição</w:t>
      </w:r>
      <w:r w:rsidRPr="002F4565">
        <w:rPr>
          <w:lang w:val="pt-BR"/>
        </w:rPr>
        <w:t xml:space="preserve"> </w:t>
      </w:r>
      <w:r w:rsidR="00FB4DE4" w:rsidRPr="002F4565">
        <w:rPr>
          <w:lang w:val="pt-BR"/>
        </w:rPr>
        <w:t>em</w:t>
      </w:r>
      <w:r w:rsidRPr="002F4565">
        <w:rPr>
          <w:lang w:val="pt-BR"/>
        </w:rPr>
        <w:t xml:space="preserve"> </w:t>
      </w:r>
      <w:r w:rsidR="004069A0" w:rsidRPr="002F4565">
        <w:rPr>
          <w:lang w:val="pt-BR"/>
        </w:rPr>
        <w:t>um</w:t>
      </w:r>
      <w:r w:rsidRPr="002F4565">
        <w:rPr>
          <w:lang w:val="pt-BR"/>
        </w:rPr>
        <w:t xml:space="preserve"> </w:t>
      </w:r>
      <w:r w:rsidR="0049090C" w:rsidRPr="002F4565">
        <w:rPr>
          <w:lang w:val="pt-BR"/>
        </w:rPr>
        <w:t>setor</w:t>
      </w:r>
      <w:r w:rsidRPr="002F4565">
        <w:rPr>
          <w:lang w:val="pt-BR"/>
        </w:rPr>
        <w:t xml:space="preserve"> </w:t>
      </w:r>
      <w:r w:rsidR="006A31E1" w:rsidRPr="002F4565">
        <w:rPr>
          <w:lang w:val="pt-BR"/>
        </w:rPr>
        <w:t>que</w:t>
      </w:r>
      <w:r w:rsidRPr="002F4565">
        <w:rPr>
          <w:lang w:val="pt-BR"/>
        </w:rPr>
        <w:t xml:space="preserve"> </w:t>
      </w:r>
      <w:proofErr w:type="gramStart"/>
      <w:r w:rsidR="00A2434B" w:rsidRPr="002F4565">
        <w:rPr>
          <w:lang w:val="pt-BR"/>
        </w:rPr>
        <w:t>seria</w:t>
      </w:r>
      <w:r w:rsidR="004069A0" w:rsidRPr="002F4565">
        <w:rPr>
          <w:lang w:val="pt-BR"/>
        </w:rPr>
        <w:t>,</w:t>
      </w:r>
      <w:proofErr w:type="gramEnd"/>
      <w:r w:rsidR="004069A0" w:rsidRPr="002F4565">
        <w:rPr>
          <w:lang w:val="pt-BR"/>
        </w:rPr>
        <w:t xml:space="preserve"> de outra forma, difícil de regular</w:t>
      </w:r>
      <w:r w:rsidRPr="002F4565">
        <w:rPr>
          <w:lang w:val="pt-BR"/>
        </w:rPr>
        <w:t xml:space="preserve">, </w:t>
      </w:r>
      <w:r w:rsidR="00F21F55" w:rsidRPr="002F4565">
        <w:rPr>
          <w:lang w:val="pt-BR"/>
        </w:rPr>
        <w:t>também</w:t>
      </w:r>
      <w:r w:rsidRPr="002F4565">
        <w:rPr>
          <w:lang w:val="pt-BR"/>
        </w:rPr>
        <w:t xml:space="preserve"> </w:t>
      </w:r>
      <w:r w:rsidR="004069A0" w:rsidRPr="002F4565">
        <w:rPr>
          <w:lang w:val="pt-BR"/>
        </w:rPr>
        <w:t>permitindo que tais fornecedores ganhem a vida</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VIII. </w:t>
      </w:r>
      <w:r w:rsidR="005A25F5" w:rsidRPr="002F4565">
        <w:rPr>
          <w:lang w:val="pt-BR"/>
        </w:rPr>
        <w:t>Responsabilização</w:t>
      </w:r>
      <w:r w:rsidRPr="002F4565">
        <w:rPr>
          <w:lang w:val="pt-BR"/>
        </w:rPr>
        <w:t xml:space="preserve"> </w:t>
      </w:r>
      <w:r w:rsidR="0049090C" w:rsidRPr="002F4565">
        <w:rPr>
          <w:lang w:val="pt-BR"/>
        </w:rPr>
        <w:t>e</w:t>
      </w:r>
      <w:r w:rsidRPr="002F4565">
        <w:rPr>
          <w:lang w:val="pt-BR"/>
        </w:rPr>
        <w:t xml:space="preserve"> </w:t>
      </w:r>
      <w:r w:rsidR="005A25F5" w:rsidRPr="002F4565">
        <w:rPr>
          <w:lang w:val="pt-BR"/>
        </w:rPr>
        <w:t>recursos</w:t>
      </w:r>
    </w:p>
    <w:p w:rsidR="00115B91" w:rsidRPr="002F4565" w:rsidRDefault="00115B91" w:rsidP="0051636A">
      <w:pPr>
        <w:spacing w:before="120" w:after="0" w:line="240" w:lineRule="auto"/>
        <w:rPr>
          <w:lang w:val="pt-BR"/>
        </w:rPr>
      </w:pPr>
      <w:r w:rsidRPr="002F4565">
        <w:rPr>
          <w:lang w:val="pt-BR"/>
        </w:rPr>
        <w:t xml:space="preserve">50. </w:t>
      </w:r>
      <w:r w:rsidR="004069A0" w:rsidRPr="002F4565">
        <w:rPr>
          <w:lang w:val="pt-BR"/>
        </w:rPr>
        <w:t>Os Estados</w:t>
      </w:r>
      <w:r w:rsidRPr="002F4565">
        <w:rPr>
          <w:lang w:val="pt-BR"/>
        </w:rPr>
        <w:t xml:space="preserve"> </w:t>
      </w:r>
      <w:r w:rsidR="00547170" w:rsidRPr="002F4565">
        <w:rPr>
          <w:lang w:val="pt-BR"/>
        </w:rPr>
        <w:t>têm a</w:t>
      </w:r>
      <w:r w:rsidRPr="002F4565">
        <w:rPr>
          <w:lang w:val="pt-BR"/>
        </w:rPr>
        <w:t xml:space="preserve"> </w:t>
      </w:r>
      <w:r w:rsidR="006A31E1" w:rsidRPr="002F4565">
        <w:rPr>
          <w:lang w:val="pt-BR"/>
        </w:rPr>
        <w:t>obrigação</w:t>
      </w:r>
      <w:r w:rsidRPr="002F4565">
        <w:rPr>
          <w:lang w:val="pt-BR"/>
        </w:rPr>
        <w:t xml:space="preserve"> </w:t>
      </w:r>
      <w:r w:rsidR="00547170" w:rsidRPr="002F4565">
        <w:rPr>
          <w:lang w:val="pt-BR"/>
        </w:rPr>
        <w:t xml:space="preserve">de oferecer mecanismos legislativos, judiciais e administrativos </w:t>
      </w:r>
      <w:r w:rsidR="00B5729E" w:rsidRPr="002F4565">
        <w:rPr>
          <w:lang w:val="pt-BR"/>
        </w:rPr>
        <w:t>disponíveis</w:t>
      </w:r>
      <w:r w:rsidRPr="002F4565">
        <w:rPr>
          <w:lang w:val="pt-BR"/>
        </w:rPr>
        <w:t xml:space="preserve">, </w:t>
      </w:r>
      <w:r w:rsidR="00624BDC" w:rsidRPr="002F4565">
        <w:rPr>
          <w:lang w:val="pt-BR"/>
        </w:rPr>
        <w:t>acessíveis</w:t>
      </w:r>
      <w:r w:rsidRPr="002F4565">
        <w:rPr>
          <w:lang w:val="pt-BR"/>
        </w:rPr>
        <w:t xml:space="preserve"> </w:t>
      </w:r>
      <w:r w:rsidR="0049090C" w:rsidRPr="002F4565">
        <w:rPr>
          <w:lang w:val="pt-BR"/>
        </w:rPr>
        <w:t>e</w:t>
      </w:r>
      <w:r w:rsidRPr="002F4565">
        <w:rPr>
          <w:lang w:val="pt-BR"/>
        </w:rPr>
        <w:t xml:space="preserve"> </w:t>
      </w:r>
      <w:r w:rsidR="00547170" w:rsidRPr="002F4565">
        <w:rPr>
          <w:lang w:val="pt-BR"/>
        </w:rPr>
        <w:t xml:space="preserve">efetivos para permitir que as </w:t>
      </w:r>
      <w:r w:rsidR="006A31E1" w:rsidRPr="002F4565">
        <w:rPr>
          <w:lang w:val="pt-BR"/>
        </w:rPr>
        <w:t>pessoas</w:t>
      </w:r>
      <w:r w:rsidRPr="002F4565">
        <w:rPr>
          <w:lang w:val="pt-BR"/>
        </w:rPr>
        <w:t xml:space="preserve"> </w:t>
      </w:r>
      <w:r w:rsidR="00547170" w:rsidRPr="002F4565">
        <w:rPr>
          <w:lang w:val="pt-BR"/>
        </w:rPr>
        <w:t>responsabilizem agentes do</w:t>
      </w:r>
      <w:r w:rsidR="004069A0" w:rsidRPr="002F4565">
        <w:rPr>
          <w:lang w:val="pt-BR"/>
        </w:rPr>
        <w:t>s Estados</w:t>
      </w:r>
      <w:r w:rsidRPr="002F4565">
        <w:rPr>
          <w:lang w:val="pt-BR"/>
        </w:rPr>
        <w:t xml:space="preserve"> </w:t>
      </w:r>
      <w:r w:rsidR="0049090C" w:rsidRPr="002F4565">
        <w:rPr>
          <w:lang w:val="pt-BR"/>
        </w:rPr>
        <w:t>e</w:t>
      </w:r>
      <w:r w:rsidRPr="002F4565">
        <w:rPr>
          <w:lang w:val="pt-BR"/>
        </w:rPr>
        <w:t xml:space="preserve"> </w:t>
      </w:r>
      <w:r w:rsidR="00303A80" w:rsidRPr="002F4565">
        <w:rPr>
          <w:lang w:val="pt-BR"/>
        </w:rPr>
        <w:t xml:space="preserve">não pertencentes aos </w:t>
      </w:r>
      <w:r w:rsidR="006A31E1" w:rsidRPr="002F4565">
        <w:rPr>
          <w:lang w:val="pt-BR"/>
        </w:rPr>
        <w:t>Estado</w:t>
      </w:r>
      <w:r w:rsidR="00547170" w:rsidRPr="002F4565">
        <w:rPr>
          <w:lang w:val="pt-BR"/>
        </w:rPr>
        <w:t>s</w:t>
      </w:r>
      <w:r w:rsidRPr="002F4565">
        <w:rPr>
          <w:lang w:val="pt-BR"/>
        </w:rPr>
        <w:t xml:space="preserve"> </w:t>
      </w:r>
      <w:r w:rsidR="0049090C" w:rsidRPr="002F4565">
        <w:rPr>
          <w:lang w:val="pt-BR"/>
        </w:rPr>
        <w:t>e</w:t>
      </w:r>
      <w:r w:rsidRPr="002F4565">
        <w:rPr>
          <w:lang w:val="pt-BR"/>
        </w:rPr>
        <w:t xml:space="preserve"> </w:t>
      </w:r>
      <w:r w:rsidR="00547170" w:rsidRPr="002F4565">
        <w:rPr>
          <w:lang w:val="pt-BR"/>
        </w:rPr>
        <w:t>impetrem ações p</w:t>
      </w:r>
      <w:r w:rsidRPr="002F4565">
        <w:rPr>
          <w:lang w:val="pt-BR"/>
        </w:rPr>
        <w:t>or viol</w:t>
      </w:r>
      <w:r w:rsidR="00F21F55" w:rsidRPr="002F4565">
        <w:rPr>
          <w:lang w:val="pt-BR"/>
        </w:rPr>
        <w:t>ações</w:t>
      </w:r>
      <w:r w:rsidRPr="002F4565">
        <w:rPr>
          <w:lang w:val="pt-BR"/>
        </w:rPr>
        <w:t xml:space="preserve"> </w:t>
      </w:r>
      <w:r w:rsidR="00547170" w:rsidRPr="002F4565">
        <w:rPr>
          <w:lang w:val="pt-BR"/>
        </w:rPr>
        <w:t xml:space="preserve">ao </w:t>
      </w:r>
      <w:r w:rsidR="00F21F55" w:rsidRPr="002F4565">
        <w:rPr>
          <w:lang w:val="pt-BR"/>
        </w:rPr>
        <w:t>direito à saúde</w:t>
      </w:r>
      <w:r w:rsidRPr="002F4565">
        <w:rPr>
          <w:lang w:val="pt-BR"/>
        </w:rPr>
        <w:t xml:space="preserve">. </w:t>
      </w:r>
      <w:r w:rsidR="00547170" w:rsidRPr="002F4565">
        <w:rPr>
          <w:lang w:val="pt-BR"/>
        </w:rPr>
        <w:t xml:space="preserve">A omissão dos </w:t>
      </w:r>
      <w:r w:rsidR="004069A0" w:rsidRPr="002F4565">
        <w:rPr>
          <w:lang w:val="pt-BR"/>
        </w:rPr>
        <w:t>Estados</w:t>
      </w:r>
      <w:r w:rsidRPr="002F4565">
        <w:rPr>
          <w:lang w:val="pt-BR"/>
        </w:rPr>
        <w:t xml:space="preserve"> </w:t>
      </w:r>
      <w:r w:rsidR="00547170" w:rsidRPr="002F4565">
        <w:rPr>
          <w:lang w:val="pt-BR"/>
        </w:rPr>
        <w:t xml:space="preserve">em </w:t>
      </w:r>
      <w:r w:rsidRPr="002F4565">
        <w:rPr>
          <w:lang w:val="pt-BR"/>
        </w:rPr>
        <w:t>legisla</w:t>
      </w:r>
      <w:r w:rsidR="00547170" w:rsidRPr="002F4565">
        <w:rPr>
          <w:lang w:val="pt-BR"/>
        </w:rPr>
        <w:t>r</w:t>
      </w:r>
      <w:r w:rsidRPr="002F4565">
        <w:rPr>
          <w:lang w:val="pt-BR"/>
        </w:rPr>
        <w:t xml:space="preserve"> </w:t>
      </w:r>
      <w:r w:rsidR="0049090C" w:rsidRPr="002F4565">
        <w:rPr>
          <w:lang w:val="pt-BR"/>
        </w:rPr>
        <w:t>e</w:t>
      </w:r>
      <w:r w:rsidRPr="002F4565">
        <w:rPr>
          <w:lang w:val="pt-BR"/>
        </w:rPr>
        <w:t xml:space="preserve"> </w:t>
      </w:r>
      <w:r w:rsidR="00547170" w:rsidRPr="002F4565">
        <w:rPr>
          <w:lang w:val="pt-BR"/>
        </w:rPr>
        <w:t xml:space="preserve">aplicar estruturas </w:t>
      </w:r>
      <w:r w:rsidR="00C47496" w:rsidRPr="002F4565">
        <w:rPr>
          <w:lang w:val="pt-BR"/>
        </w:rPr>
        <w:t>regulatóri</w:t>
      </w:r>
      <w:r w:rsidR="00547170" w:rsidRPr="002F4565">
        <w:rPr>
          <w:lang w:val="pt-BR"/>
        </w:rPr>
        <w:t>a</w:t>
      </w:r>
      <w:r w:rsidR="00C47496" w:rsidRPr="002F4565">
        <w:rPr>
          <w:lang w:val="pt-BR"/>
        </w:rPr>
        <w:t>s</w:t>
      </w:r>
      <w:r w:rsidRPr="002F4565">
        <w:rPr>
          <w:lang w:val="pt-BR"/>
        </w:rPr>
        <w:t xml:space="preserve"> </w:t>
      </w:r>
      <w:r w:rsidR="00F21F55" w:rsidRPr="002F4565">
        <w:rPr>
          <w:lang w:val="pt-BR"/>
        </w:rPr>
        <w:t>com</w:t>
      </w:r>
      <w:r w:rsidRPr="002F4565">
        <w:rPr>
          <w:lang w:val="pt-BR"/>
        </w:rPr>
        <w:t xml:space="preserve"> </w:t>
      </w:r>
      <w:r w:rsidR="00F21F55" w:rsidRPr="002F4565">
        <w:rPr>
          <w:lang w:val="pt-BR"/>
        </w:rPr>
        <w:t>respeito</w:t>
      </w:r>
      <w:r w:rsidRPr="002F4565">
        <w:rPr>
          <w:lang w:val="pt-BR"/>
        </w:rPr>
        <w:t xml:space="preserve"> </w:t>
      </w:r>
      <w:r w:rsidR="00547170" w:rsidRPr="002F4565">
        <w:rPr>
          <w:lang w:val="pt-BR"/>
        </w:rPr>
        <w:t xml:space="preserve">à </w:t>
      </w:r>
      <w:r w:rsidR="00F21F55" w:rsidRPr="002F4565">
        <w:rPr>
          <w:lang w:val="pt-BR"/>
        </w:rPr>
        <w:t>indústria de alimentos</w:t>
      </w:r>
      <w:r w:rsidRPr="002F4565">
        <w:rPr>
          <w:lang w:val="pt-BR"/>
        </w:rPr>
        <w:t xml:space="preserve"> </w:t>
      </w:r>
      <w:r w:rsidR="000E48EB" w:rsidRPr="002F4565">
        <w:rPr>
          <w:lang w:val="pt-BR"/>
        </w:rPr>
        <w:t>pode</w:t>
      </w:r>
      <w:r w:rsidR="00547170" w:rsidRPr="002F4565">
        <w:rPr>
          <w:lang w:val="pt-BR"/>
        </w:rPr>
        <w:t xml:space="preserve">, por si, </w:t>
      </w:r>
      <w:r w:rsidR="00A2434B" w:rsidRPr="002F4565">
        <w:rPr>
          <w:lang w:val="pt-BR"/>
        </w:rPr>
        <w:t xml:space="preserve">constituir </w:t>
      </w:r>
      <w:r w:rsidRPr="002F4565">
        <w:rPr>
          <w:lang w:val="pt-BR"/>
        </w:rPr>
        <w:t>viol</w:t>
      </w:r>
      <w:r w:rsidR="00F21F55" w:rsidRPr="002F4565">
        <w:rPr>
          <w:lang w:val="pt-BR"/>
        </w:rPr>
        <w:t>ação</w:t>
      </w:r>
      <w:r w:rsidRPr="002F4565">
        <w:rPr>
          <w:lang w:val="pt-BR"/>
        </w:rPr>
        <w:t xml:space="preserve"> </w:t>
      </w:r>
      <w:r w:rsidR="00547170" w:rsidRPr="002F4565">
        <w:rPr>
          <w:lang w:val="pt-BR"/>
        </w:rPr>
        <w:t xml:space="preserve">ao </w:t>
      </w:r>
      <w:r w:rsidR="00F21F55" w:rsidRPr="002F4565">
        <w:rPr>
          <w:lang w:val="pt-BR"/>
        </w:rPr>
        <w:t>direito à saúde</w:t>
      </w:r>
      <w:r w:rsidRPr="002F4565">
        <w:rPr>
          <w:lang w:val="pt-BR"/>
        </w:rPr>
        <w:t xml:space="preserve">. </w:t>
      </w:r>
      <w:r w:rsidR="00624BDC" w:rsidRPr="002F4565">
        <w:rPr>
          <w:lang w:val="pt-BR"/>
        </w:rPr>
        <w:t>Por exemplo</w:t>
      </w:r>
      <w:r w:rsidRPr="002F4565">
        <w:rPr>
          <w:lang w:val="pt-BR"/>
        </w:rPr>
        <w:t xml:space="preserve">, </w:t>
      </w:r>
      <w:r w:rsidR="00547170" w:rsidRPr="002F4565">
        <w:rPr>
          <w:lang w:val="pt-BR"/>
        </w:rPr>
        <w:t>se</w:t>
      </w:r>
      <w:r w:rsidRPr="002F4565">
        <w:rPr>
          <w:lang w:val="pt-BR"/>
        </w:rPr>
        <w:t xml:space="preserve"> </w:t>
      </w:r>
      <w:r w:rsidR="00261A8A" w:rsidRPr="002F4565">
        <w:rPr>
          <w:lang w:val="pt-BR"/>
        </w:rPr>
        <w:t>o</w:t>
      </w:r>
      <w:r w:rsidRPr="002F4565">
        <w:rPr>
          <w:lang w:val="pt-BR"/>
        </w:rPr>
        <w:t xml:space="preserve"> </w:t>
      </w:r>
      <w:r w:rsidR="006A31E1" w:rsidRPr="002F4565">
        <w:rPr>
          <w:lang w:val="pt-BR"/>
        </w:rPr>
        <w:t>Estado</w:t>
      </w:r>
      <w:r w:rsidRPr="002F4565">
        <w:rPr>
          <w:lang w:val="pt-BR"/>
        </w:rPr>
        <w:t xml:space="preserve"> </w:t>
      </w:r>
      <w:r w:rsidR="00547170" w:rsidRPr="002F4565">
        <w:rPr>
          <w:lang w:val="pt-BR"/>
        </w:rPr>
        <w:t xml:space="preserve">deixa de estabelecer </w:t>
      </w:r>
      <w:r w:rsidR="00624BDC" w:rsidRPr="002F4565">
        <w:rPr>
          <w:lang w:val="pt-BR"/>
        </w:rPr>
        <w:t>leis</w:t>
      </w:r>
      <w:r w:rsidRPr="002F4565">
        <w:rPr>
          <w:lang w:val="pt-BR"/>
        </w:rPr>
        <w:t xml:space="preserve"> </w:t>
      </w:r>
      <w:r w:rsidR="00547170" w:rsidRPr="002F4565">
        <w:rPr>
          <w:lang w:val="pt-BR"/>
        </w:rPr>
        <w:t xml:space="preserve">que exijam o fornecimento </w:t>
      </w:r>
      <w:r w:rsidR="0049090C" w:rsidRPr="002F4565">
        <w:rPr>
          <w:lang w:val="pt-BR"/>
        </w:rPr>
        <w:t>e</w:t>
      </w:r>
      <w:r w:rsidRPr="002F4565">
        <w:rPr>
          <w:lang w:val="pt-BR"/>
        </w:rPr>
        <w:t xml:space="preserve"> dissemin</w:t>
      </w:r>
      <w:r w:rsidR="00F21F55" w:rsidRPr="002F4565">
        <w:rPr>
          <w:lang w:val="pt-BR"/>
        </w:rPr>
        <w:t>ação</w:t>
      </w:r>
      <w:r w:rsidRPr="002F4565">
        <w:rPr>
          <w:lang w:val="pt-BR"/>
        </w:rPr>
        <w:t xml:space="preserve"> </w:t>
      </w:r>
      <w:r w:rsidR="0049090C" w:rsidRPr="002F4565">
        <w:rPr>
          <w:lang w:val="pt-BR"/>
        </w:rPr>
        <w:t>de</w:t>
      </w:r>
      <w:r w:rsidRPr="002F4565">
        <w:rPr>
          <w:lang w:val="pt-BR"/>
        </w:rPr>
        <w:t xml:space="preserve"> </w:t>
      </w:r>
      <w:r w:rsidR="00F21F55" w:rsidRPr="002F4565">
        <w:rPr>
          <w:lang w:val="pt-BR"/>
        </w:rPr>
        <w:t>informações</w:t>
      </w:r>
      <w:r w:rsidRPr="002F4565">
        <w:rPr>
          <w:lang w:val="pt-BR"/>
        </w:rPr>
        <w:t xml:space="preserve">, </w:t>
      </w:r>
      <w:r w:rsidR="00547170" w:rsidRPr="002F4565">
        <w:rPr>
          <w:lang w:val="pt-BR"/>
        </w:rPr>
        <w:t xml:space="preserve">as </w:t>
      </w:r>
      <w:r w:rsidR="006A31E1" w:rsidRPr="002F4565">
        <w:rPr>
          <w:lang w:val="pt-BR"/>
        </w:rPr>
        <w:t>pessoas</w:t>
      </w:r>
      <w:r w:rsidRPr="002F4565">
        <w:rPr>
          <w:lang w:val="pt-BR"/>
        </w:rPr>
        <w:t xml:space="preserve"> </w:t>
      </w:r>
      <w:r w:rsidR="000E48EB" w:rsidRPr="002F4565">
        <w:rPr>
          <w:lang w:val="pt-BR"/>
        </w:rPr>
        <w:t>podem</w:t>
      </w:r>
      <w:r w:rsidRPr="002F4565">
        <w:rPr>
          <w:lang w:val="pt-BR"/>
        </w:rPr>
        <w:t xml:space="preserve"> </w:t>
      </w:r>
      <w:r w:rsidR="005A25F5" w:rsidRPr="002F4565">
        <w:rPr>
          <w:lang w:val="pt-BR"/>
        </w:rPr>
        <w:t>não</w:t>
      </w:r>
      <w:r w:rsidRPr="002F4565">
        <w:rPr>
          <w:lang w:val="pt-BR"/>
        </w:rPr>
        <w:t xml:space="preserve"> </w:t>
      </w:r>
      <w:r w:rsidR="00547170" w:rsidRPr="002F4565">
        <w:rPr>
          <w:lang w:val="pt-BR"/>
        </w:rPr>
        <w:t xml:space="preserve">estar em condições de fazer escolhas bem informadas </w:t>
      </w:r>
      <w:r w:rsidR="00F21F55" w:rsidRPr="002F4565">
        <w:rPr>
          <w:lang w:val="pt-BR"/>
        </w:rPr>
        <w:t>sobre</w:t>
      </w:r>
      <w:r w:rsidRPr="002F4565">
        <w:rPr>
          <w:lang w:val="pt-BR"/>
        </w:rPr>
        <w:t xml:space="preserve"> </w:t>
      </w:r>
      <w:r w:rsidR="00547170" w:rsidRPr="002F4565">
        <w:rPr>
          <w:lang w:val="pt-BR"/>
        </w:rPr>
        <w:t>a</w:t>
      </w:r>
      <w:r w:rsidRPr="002F4565">
        <w:rPr>
          <w:lang w:val="pt-BR"/>
        </w:rPr>
        <w:t xml:space="preserve"> diet</w:t>
      </w:r>
      <w:r w:rsidR="00A2434B" w:rsidRPr="002F4565">
        <w:rPr>
          <w:lang w:val="pt-BR"/>
        </w:rPr>
        <w:t>a</w:t>
      </w:r>
      <w:r w:rsidRPr="002F4565">
        <w:rPr>
          <w:lang w:val="pt-BR"/>
        </w:rPr>
        <w:t xml:space="preserve">, </w:t>
      </w:r>
      <w:r w:rsidR="00547170" w:rsidRPr="002F4565">
        <w:rPr>
          <w:lang w:val="pt-BR"/>
        </w:rPr>
        <w:t xml:space="preserve">o que </w:t>
      </w:r>
      <w:r w:rsidR="000E48EB" w:rsidRPr="002F4565">
        <w:rPr>
          <w:lang w:val="pt-BR"/>
        </w:rPr>
        <w:t>pode</w:t>
      </w:r>
      <w:r w:rsidRPr="002F4565">
        <w:rPr>
          <w:lang w:val="pt-BR"/>
        </w:rPr>
        <w:t xml:space="preserve"> </w:t>
      </w:r>
      <w:r w:rsidR="00547170" w:rsidRPr="002F4565">
        <w:rPr>
          <w:lang w:val="pt-BR"/>
        </w:rPr>
        <w:t xml:space="preserve">impedi-las de alcançar os mais elevados padrões </w:t>
      </w:r>
      <w:r w:rsidR="0049090C" w:rsidRPr="002F4565">
        <w:rPr>
          <w:lang w:val="pt-BR"/>
        </w:rPr>
        <w:t>de</w:t>
      </w:r>
      <w:r w:rsidRPr="002F4565">
        <w:rPr>
          <w:lang w:val="pt-BR"/>
        </w:rPr>
        <w:t xml:space="preserve"> </w:t>
      </w:r>
      <w:r w:rsidR="0049090C" w:rsidRPr="002F4565">
        <w:rPr>
          <w:lang w:val="pt-BR"/>
        </w:rPr>
        <w:t>saúde</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51. </w:t>
      </w:r>
      <w:r w:rsidR="004069A0" w:rsidRPr="002F4565">
        <w:rPr>
          <w:lang w:val="pt-BR"/>
        </w:rPr>
        <w:t>Os Estados</w:t>
      </w:r>
      <w:r w:rsidRPr="002F4565">
        <w:rPr>
          <w:lang w:val="pt-BR"/>
        </w:rPr>
        <w:t xml:space="preserve"> </w:t>
      </w:r>
      <w:r w:rsidR="00547170" w:rsidRPr="002F4565">
        <w:rPr>
          <w:lang w:val="pt-BR"/>
        </w:rPr>
        <w:t xml:space="preserve">não apenas </w:t>
      </w:r>
      <w:r w:rsidR="002E1AA7" w:rsidRPr="002F4565">
        <w:rPr>
          <w:lang w:val="pt-BR"/>
        </w:rPr>
        <w:t>devem</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547170" w:rsidRPr="002F4565">
        <w:rPr>
          <w:lang w:val="pt-BR"/>
        </w:rPr>
        <w:t xml:space="preserve">haja </w:t>
      </w:r>
      <w:r w:rsidR="00624BDC" w:rsidRPr="002F4565">
        <w:rPr>
          <w:lang w:val="pt-BR"/>
        </w:rPr>
        <w:t>leis</w:t>
      </w:r>
      <w:r w:rsidRPr="002F4565">
        <w:rPr>
          <w:lang w:val="pt-BR"/>
        </w:rPr>
        <w:t xml:space="preserve"> </w:t>
      </w:r>
      <w:r w:rsidR="0049090C" w:rsidRPr="002F4565">
        <w:rPr>
          <w:lang w:val="pt-BR"/>
        </w:rPr>
        <w:t>e</w:t>
      </w:r>
      <w:r w:rsidRPr="002F4565">
        <w:rPr>
          <w:lang w:val="pt-BR"/>
        </w:rPr>
        <w:t xml:space="preserve"> </w:t>
      </w:r>
      <w:r w:rsidR="0049090C" w:rsidRPr="002F4565">
        <w:rPr>
          <w:lang w:val="pt-BR"/>
        </w:rPr>
        <w:t>políticas</w:t>
      </w:r>
      <w:r w:rsidRPr="002F4565">
        <w:rPr>
          <w:lang w:val="pt-BR"/>
        </w:rPr>
        <w:t xml:space="preserve"> </w:t>
      </w:r>
      <w:r w:rsidR="00547170" w:rsidRPr="002F4565">
        <w:rPr>
          <w:lang w:val="pt-BR"/>
        </w:rPr>
        <w:t>importantes</w:t>
      </w:r>
      <w:r w:rsidRPr="002F4565">
        <w:rPr>
          <w:lang w:val="pt-BR"/>
        </w:rPr>
        <w:t xml:space="preserve">, </w:t>
      </w:r>
      <w:r w:rsidR="0040430A" w:rsidRPr="002F4565">
        <w:rPr>
          <w:lang w:val="pt-BR"/>
        </w:rPr>
        <w:t>mas</w:t>
      </w:r>
      <w:r w:rsidRPr="002F4565">
        <w:rPr>
          <w:lang w:val="pt-BR"/>
        </w:rPr>
        <w:t xml:space="preserve"> </w:t>
      </w:r>
      <w:r w:rsidR="00F21F55" w:rsidRPr="002F4565">
        <w:rPr>
          <w:lang w:val="pt-BR"/>
        </w:rPr>
        <w:t>também</w:t>
      </w:r>
      <w:r w:rsidRPr="002F4565">
        <w:rPr>
          <w:lang w:val="pt-BR"/>
        </w:rPr>
        <w:t xml:space="preserve"> </w:t>
      </w:r>
      <w:r w:rsidR="006A31E1" w:rsidRPr="002F4565">
        <w:rPr>
          <w:lang w:val="pt-BR"/>
        </w:rPr>
        <w:t>que</w:t>
      </w:r>
      <w:r w:rsidRPr="002F4565">
        <w:rPr>
          <w:lang w:val="pt-BR"/>
        </w:rPr>
        <w:t xml:space="preserve"> </w:t>
      </w:r>
      <w:r w:rsidR="00547170" w:rsidRPr="002F4565">
        <w:rPr>
          <w:lang w:val="pt-BR"/>
        </w:rPr>
        <w:t xml:space="preserve">tais lei e </w:t>
      </w:r>
      <w:r w:rsidR="0007577A" w:rsidRPr="002F4565">
        <w:rPr>
          <w:lang w:val="pt-BR"/>
        </w:rPr>
        <w:t>políticas</w:t>
      </w:r>
      <w:r w:rsidR="00547170" w:rsidRPr="002F4565">
        <w:rPr>
          <w:lang w:val="pt-BR"/>
        </w:rPr>
        <w:t xml:space="preserve"> serão formuladas</w:t>
      </w:r>
      <w:r w:rsidRPr="002F4565">
        <w:rPr>
          <w:lang w:val="pt-BR"/>
        </w:rPr>
        <w:t>, impl</w:t>
      </w:r>
      <w:r w:rsidR="00A2434B" w:rsidRPr="002F4565">
        <w:rPr>
          <w:lang w:val="pt-BR"/>
        </w:rPr>
        <w:t>a</w:t>
      </w:r>
      <w:r w:rsidRPr="002F4565">
        <w:rPr>
          <w:lang w:val="pt-BR"/>
        </w:rPr>
        <w:t>nt</w:t>
      </w:r>
      <w:r w:rsidR="00547170" w:rsidRPr="002F4565">
        <w:rPr>
          <w:lang w:val="pt-BR"/>
        </w:rPr>
        <w:t>adas</w:t>
      </w:r>
      <w:r w:rsidRPr="002F4565">
        <w:rPr>
          <w:lang w:val="pt-BR"/>
        </w:rPr>
        <w:t xml:space="preserve"> </w:t>
      </w:r>
      <w:r w:rsidR="0049090C" w:rsidRPr="002F4565">
        <w:rPr>
          <w:lang w:val="pt-BR"/>
        </w:rPr>
        <w:t>e</w:t>
      </w:r>
      <w:r w:rsidRPr="002F4565">
        <w:rPr>
          <w:lang w:val="pt-BR"/>
        </w:rPr>
        <w:t xml:space="preserve"> monitor</w:t>
      </w:r>
      <w:r w:rsidR="00547170" w:rsidRPr="002F4565">
        <w:rPr>
          <w:lang w:val="pt-BR"/>
        </w:rPr>
        <w:t>adas</w:t>
      </w:r>
      <w:r w:rsidRPr="002F4565">
        <w:rPr>
          <w:lang w:val="pt-BR"/>
        </w:rPr>
        <w:t xml:space="preserve"> </w:t>
      </w:r>
      <w:r w:rsidR="00547170" w:rsidRPr="002F4565">
        <w:rPr>
          <w:lang w:val="pt-BR"/>
        </w:rPr>
        <w:t>com transparência</w:t>
      </w:r>
      <w:r w:rsidRPr="002F4565">
        <w:rPr>
          <w:lang w:val="pt-BR"/>
        </w:rPr>
        <w:t xml:space="preserve">, </w:t>
      </w:r>
      <w:r w:rsidR="00547170" w:rsidRPr="002F4565">
        <w:rPr>
          <w:lang w:val="pt-BR"/>
        </w:rPr>
        <w:t xml:space="preserve">de acordo com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547170" w:rsidRPr="002F4565">
        <w:rPr>
          <w:lang w:val="pt-BR"/>
        </w:rPr>
        <w:t>A t</w:t>
      </w:r>
      <w:r w:rsidRPr="002F4565">
        <w:rPr>
          <w:lang w:val="pt-BR"/>
        </w:rPr>
        <w:t>ranspar</w:t>
      </w:r>
      <w:r w:rsidR="003C09F9" w:rsidRPr="002F4565">
        <w:rPr>
          <w:lang w:val="pt-BR"/>
        </w:rPr>
        <w:t>ência</w:t>
      </w:r>
      <w:r w:rsidRPr="002F4565">
        <w:rPr>
          <w:lang w:val="pt-BR"/>
        </w:rPr>
        <w:t xml:space="preserve"> </w:t>
      </w:r>
      <w:r w:rsidR="002E1AA7" w:rsidRPr="002F4565">
        <w:rPr>
          <w:lang w:val="pt-BR"/>
        </w:rPr>
        <w:t>deve ser</w:t>
      </w:r>
      <w:r w:rsidRPr="002F4565">
        <w:rPr>
          <w:lang w:val="pt-BR"/>
        </w:rPr>
        <w:t xml:space="preserve"> </w:t>
      </w:r>
      <w:r w:rsidR="00547170" w:rsidRPr="002F4565">
        <w:rPr>
          <w:lang w:val="pt-BR"/>
        </w:rPr>
        <w:t>assegurada em todas as ocasiões</w:t>
      </w:r>
      <w:r w:rsidRPr="002F4565">
        <w:rPr>
          <w:lang w:val="pt-BR"/>
        </w:rPr>
        <w:t xml:space="preserve">, </w:t>
      </w:r>
      <w:r w:rsidR="00F21F55" w:rsidRPr="002F4565">
        <w:rPr>
          <w:lang w:val="pt-BR"/>
        </w:rPr>
        <w:t>inclusive</w:t>
      </w:r>
      <w:r w:rsidRPr="002F4565">
        <w:rPr>
          <w:lang w:val="pt-BR"/>
        </w:rPr>
        <w:t xml:space="preserve"> </w:t>
      </w:r>
      <w:r w:rsidR="00547170" w:rsidRPr="002F4565">
        <w:rPr>
          <w:lang w:val="pt-BR"/>
        </w:rPr>
        <w:t xml:space="preserve">ao negociar </w:t>
      </w:r>
      <w:r w:rsidR="00F21F55" w:rsidRPr="002F4565">
        <w:rPr>
          <w:lang w:val="pt-BR"/>
        </w:rPr>
        <w:t>obrigações</w:t>
      </w:r>
      <w:r w:rsidR="00547170" w:rsidRPr="002F4565">
        <w:rPr>
          <w:lang w:val="pt-BR"/>
        </w:rPr>
        <w:t xml:space="preserve"> internacionais</w:t>
      </w:r>
      <w:r w:rsidRPr="002F4565">
        <w:rPr>
          <w:lang w:val="pt-BR"/>
        </w:rPr>
        <w:t xml:space="preserve">. </w:t>
      </w:r>
      <w:r w:rsidR="00C47496" w:rsidRPr="002F4565">
        <w:rPr>
          <w:lang w:val="pt-BR"/>
        </w:rPr>
        <w:t>Embora</w:t>
      </w:r>
      <w:r w:rsidRPr="002F4565">
        <w:rPr>
          <w:lang w:val="pt-BR"/>
        </w:rPr>
        <w:t xml:space="preserve"> </w:t>
      </w:r>
      <w:r w:rsidR="00547170" w:rsidRPr="002F4565">
        <w:rPr>
          <w:lang w:val="pt-BR"/>
        </w:rPr>
        <w:t xml:space="preserve">a </w:t>
      </w:r>
      <w:r w:rsidRPr="002F4565">
        <w:rPr>
          <w:lang w:val="pt-BR"/>
        </w:rPr>
        <w:t>transpar</w:t>
      </w:r>
      <w:r w:rsidR="003C09F9" w:rsidRPr="002F4565">
        <w:rPr>
          <w:lang w:val="pt-BR"/>
        </w:rPr>
        <w:t>ência</w:t>
      </w:r>
      <w:r w:rsidRPr="002F4565">
        <w:rPr>
          <w:lang w:val="pt-BR"/>
        </w:rPr>
        <w:t xml:space="preserve"> </w:t>
      </w:r>
      <w:r w:rsidR="00547170" w:rsidRPr="002F4565">
        <w:rPr>
          <w:lang w:val="pt-BR"/>
        </w:rPr>
        <w:t xml:space="preserve">seja exigida por alguns tratados de </w:t>
      </w:r>
      <w:r w:rsidR="0049090C" w:rsidRPr="002F4565">
        <w:rPr>
          <w:lang w:val="pt-BR"/>
        </w:rPr>
        <w:t>investimento</w:t>
      </w:r>
      <w:r w:rsidR="00547170" w:rsidRPr="002F4565">
        <w:rPr>
          <w:lang w:val="pt-BR"/>
        </w:rPr>
        <w:t>s</w:t>
      </w:r>
      <w:r w:rsidRPr="002F4565">
        <w:rPr>
          <w:lang w:val="pt-BR"/>
        </w:rPr>
        <w:t xml:space="preserve">, </w:t>
      </w:r>
      <w:r w:rsidR="00547170" w:rsidRPr="002F4565">
        <w:rPr>
          <w:lang w:val="pt-BR"/>
        </w:rPr>
        <w:t xml:space="preserve">está vinculada à </w:t>
      </w:r>
      <w:r w:rsidRPr="002F4565">
        <w:rPr>
          <w:lang w:val="pt-BR"/>
        </w:rPr>
        <w:t>prom</w:t>
      </w:r>
      <w:r w:rsidR="00F21F55" w:rsidRPr="002F4565">
        <w:rPr>
          <w:lang w:val="pt-BR"/>
        </w:rPr>
        <w:t>oção</w:t>
      </w:r>
      <w:r w:rsidRPr="002F4565">
        <w:rPr>
          <w:lang w:val="pt-BR"/>
        </w:rPr>
        <w:t xml:space="preserve"> </w:t>
      </w:r>
      <w:r w:rsidR="0049090C" w:rsidRPr="002F4565">
        <w:rPr>
          <w:lang w:val="pt-BR"/>
        </w:rPr>
        <w:t>e</w:t>
      </w:r>
      <w:r w:rsidRPr="002F4565">
        <w:rPr>
          <w:lang w:val="pt-BR"/>
        </w:rPr>
        <w:t xml:space="preserve"> </w:t>
      </w:r>
      <w:r w:rsidR="00F21F55" w:rsidRPr="002F4565">
        <w:rPr>
          <w:lang w:val="pt-BR"/>
        </w:rPr>
        <w:t>proteção</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investimento</w:t>
      </w:r>
      <w:r w:rsidR="00547170" w:rsidRPr="002F4565">
        <w:rPr>
          <w:lang w:val="pt-BR"/>
        </w:rPr>
        <w:t xml:space="preserve">s </w:t>
      </w:r>
      <w:proofErr w:type="gramStart"/>
      <w:r w:rsidR="00547170" w:rsidRPr="002F4565">
        <w:rPr>
          <w:lang w:val="pt-BR"/>
        </w:rPr>
        <w:t>internacionais</w:t>
      </w:r>
      <w:r w:rsidRPr="002F4565">
        <w:rPr>
          <w:lang w:val="pt-BR"/>
        </w:rPr>
        <w:t>.</w:t>
      </w:r>
      <w:proofErr w:type="gramEnd"/>
      <w:r w:rsidRPr="002F4565">
        <w:rPr>
          <w:vertAlign w:val="superscript"/>
          <w:lang w:val="pt-BR"/>
        </w:rPr>
        <w:t>73</w:t>
      </w:r>
      <w:r w:rsidRPr="002F4565">
        <w:rPr>
          <w:lang w:val="pt-BR"/>
        </w:rPr>
        <w:t xml:space="preserve"> </w:t>
      </w:r>
      <w:r w:rsidR="0049090C" w:rsidRPr="002F4565">
        <w:rPr>
          <w:lang w:val="pt-BR"/>
        </w:rPr>
        <w:t>O</w:t>
      </w:r>
      <w:r w:rsidRPr="002F4565">
        <w:rPr>
          <w:lang w:val="pt-BR"/>
        </w:rPr>
        <w:t xml:space="preserve"> </w:t>
      </w:r>
      <w:r w:rsidR="00547170" w:rsidRPr="002F4565">
        <w:rPr>
          <w:lang w:val="pt-BR"/>
        </w:rPr>
        <w:t>objetivo</w:t>
      </w:r>
      <w:r w:rsidRPr="002F4565">
        <w:rPr>
          <w:lang w:val="pt-BR"/>
        </w:rPr>
        <w:t xml:space="preserve"> </w:t>
      </w:r>
      <w:r w:rsidR="005A25F5" w:rsidRPr="002F4565">
        <w:rPr>
          <w:lang w:val="pt-BR"/>
        </w:rPr>
        <w:t>é</w:t>
      </w:r>
      <w:r w:rsidRPr="002F4565">
        <w:rPr>
          <w:lang w:val="pt-BR"/>
        </w:rPr>
        <w:t xml:space="preserve"> </w:t>
      </w:r>
      <w:r w:rsidR="00F21F55"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547170" w:rsidRPr="002F4565">
        <w:rPr>
          <w:lang w:val="pt-BR"/>
        </w:rPr>
        <w:t xml:space="preserve">as </w:t>
      </w:r>
      <w:r w:rsidR="00624BDC" w:rsidRPr="002F4565">
        <w:rPr>
          <w:lang w:val="pt-BR"/>
        </w:rPr>
        <w:t>leis</w:t>
      </w:r>
      <w:r w:rsidRPr="002F4565">
        <w:rPr>
          <w:lang w:val="pt-BR"/>
        </w:rPr>
        <w:t xml:space="preserve"> </w:t>
      </w:r>
      <w:r w:rsidR="0049090C" w:rsidRPr="002F4565">
        <w:rPr>
          <w:lang w:val="pt-BR"/>
        </w:rPr>
        <w:t>e</w:t>
      </w:r>
      <w:r w:rsidRPr="002F4565">
        <w:rPr>
          <w:lang w:val="pt-BR"/>
        </w:rPr>
        <w:t xml:space="preserve"> </w:t>
      </w:r>
      <w:r w:rsidR="00F21F55" w:rsidRPr="002F4565">
        <w:rPr>
          <w:lang w:val="pt-BR"/>
        </w:rPr>
        <w:t>regulament</w:t>
      </w:r>
      <w:r w:rsidR="00547170" w:rsidRPr="002F4565">
        <w:rPr>
          <w:lang w:val="pt-BR"/>
        </w:rPr>
        <w:t>os</w:t>
      </w:r>
      <w:r w:rsidRPr="002F4565">
        <w:rPr>
          <w:lang w:val="pt-BR"/>
        </w:rPr>
        <w:t xml:space="preserve"> </w:t>
      </w:r>
      <w:r w:rsidR="00547170" w:rsidRPr="002F4565">
        <w:rPr>
          <w:lang w:val="pt-BR"/>
        </w:rPr>
        <w:t>que</w:t>
      </w:r>
      <w:r w:rsidRPr="002F4565">
        <w:rPr>
          <w:lang w:val="pt-BR"/>
        </w:rPr>
        <w:t xml:space="preserve"> </w:t>
      </w:r>
      <w:r w:rsidR="000E48EB" w:rsidRPr="002F4565">
        <w:rPr>
          <w:lang w:val="pt-BR"/>
        </w:rPr>
        <w:t>podem</w:t>
      </w:r>
      <w:r w:rsidRPr="002F4565">
        <w:rPr>
          <w:lang w:val="pt-BR"/>
        </w:rPr>
        <w:t xml:space="preserve"> afet</w:t>
      </w:r>
      <w:r w:rsidR="00547170" w:rsidRPr="002F4565">
        <w:rPr>
          <w:lang w:val="pt-BR"/>
        </w:rPr>
        <w:t>ar</w:t>
      </w:r>
      <w:r w:rsidRPr="002F4565">
        <w:rPr>
          <w:lang w:val="pt-BR"/>
        </w:rPr>
        <w:t xml:space="preserve"> </w:t>
      </w:r>
      <w:r w:rsidR="00547170" w:rsidRPr="002F4565">
        <w:rPr>
          <w:lang w:val="pt-BR"/>
        </w:rPr>
        <w:t xml:space="preserve">os </w:t>
      </w:r>
      <w:r w:rsidR="00182B8E" w:rsidRPr="002F4565">
        <w:rPr>
          <w:lang w:val="pt-BR"/>
        </w:rPr>
        <w:t>investimento</w:t>
      </w:r>
      <w:r w:rsidRPr="002F4565">
        <w:rPr>
          <w:lang w:val="pt-BR"/>
        </w:rPr>
        <w:t xml:space="preserve">s </w:t>
      </w:r>
      <w:r w:rsidR="00547170" w:rsidRPr="002F4565">
        <w:rPr>
          <w:lang w:val="pt-BR"/>
        </w:rPr>
        <w:t xml:space="preserve">estejam </w:t>
      </w:r>
      <w:r w:rsidR="00E62864" w:rsidRPr="002F4565">
        <w:rPr>
          <w:lang w:val="pt-BR"/>
        </w:rPr>
        <w:t xml:space="preserve">publicamente </w:t>
      </w:r>
      <w:r w:rsidR="00547170" w:rsidRPr="002F4565">
        <w:rPr>
          <w:lang w:val="pt-BR"/>
        </w:rPr>
        <w:t xml:space="preserve">disponíveis </w:t>
      </w:r>
      <w:r w:rsidR="00E62864" w:rsidRPr="002F4565">
        <w:rPr>
          <w:lang w:val="pt-BR"/>
        </w:rPr>
        <w:t>para as partes contratantes</w:t>
      </w:r>
      <w:r w:rsidRPr="002F4565">
        <w:rPr>
          <w:lang w:val="pt-BR"/>
        </w:rPr>
        <w:t xml:space="preserve">. </w:t>
      </w:r>
      <w:r w:rsidR="00E62864" w:rsidRPr="002F4565">
        <w:rPr>
          <w:lang w:val="pt-BR"/>
        </w:rPr>
        <w:t xml:space="preserve">Algumas </w:t>
      </w:r>
      <w:r w:rsidRPr="002F4565">
        <w:rPr>
          <w:lang w:val="pt-BR"/>
        </w:rPr>
        <w:t>organiz</w:t>
      </w:r>
      <w:r w:rsidR="00F21F55" w:rsidRPr="002F4565">
        <w:rPr>
          <w:lang w:val="pt-BR"/>
        </w:rPr>
        <w:t>ações</w:t>
      </w:r>
      <w:r w:rsidRPr="002F4565">
        <w:rPr>
          <w:lang w:val="pt-BR"/>
        </w:rPr>
        <w:t xml:space="preserve"> </w:t>
      </w:r>
      <w:r w:rsidR="00E62864" w:rsidRPr="002F4565">
        <w:rPr>
          <w:lang w:val="pt-BR"/>
        </w:rPr>
        <w:t xml:space="preserve">internacionais adotaram princípios de </w:t>
      </w:r>
      <w:r w:rsidRPr="002F4565">
        <w:rPr>
          <w:lang w:val="pt-BR"/>
        </w:rPr>
        <w:t>transpar</w:t>
      </w:r>
      <w:r w:rsidR="003C09F9" w:rsidRPr="002F4565">
        <w:rPr>
          <w:lang w:val="pt-BR"/>
        </w:rPr>
        <w:t>ência</w:t>
      </w:r>
      <w:r w:rsidRPr="002F4565">
        <w:rPr>
          <w:lang w:val="pt-BR"/>
        </w:rPr>
        <w:t xml:space="preserve"> </w:t>
      </w:r>
      <w:r w:rsidR="006A31E1" w:rsidRPr="002F4565">
        <w:rPr>
          <w:lang w:val="pt-BR"/>
        </w:rPr>
        <w:t>que</w:t>
      </w:r>
      <w:r w:rsidRPr="002F4565">
        <w:rPr>
          <w:lang w:val="pt-BR"/>
        </w:rPr>
        <w:t xml:space="preserve"> </w:t>
      </w:r>
      <w:r w:rsidR="00E62864" w:rsidRPr="002F4565">
        <w:rPr>
          <w:lang w:val="pt-BR"/>
        </w:rPr>
        <w:t>se referem</w:t>
      </w:r>
      <w:r w:rsidRPr="002F4565">
        <w:rPr>
          <w:lang w:val="pt-BR"/>
        </w:rPr>
        <w:t xml:space="preserve">, </w:t>
      </w:r>
      <w:r w:rsidR="00FB4DE4" w:rsidRPr="002F4565">
        <w:rPr>
          <w:lang w:val="pt-BR"/>
        </w:rPr>
        <w:t>no entanto</w:t>
      </w:r>
      <w:r w:rsidRPr="002F4565">
        <w:rPr>
          <w:lang w:val="pt-BR"/>
        </w:rPr>
        <w:t xml:space="preserve">, </w:t>
      </w:r>
      <w:r w:rsidR="00E62864" w:rsidRPr="002F4565">
        <w:rPr>
          <w:lang w:val="pt-BR"/>
        </w:rPr>
        <w:t xml:space="preserve">à previsibilidade das normas e regulamentos de </w:t>
      </w:r>
      <w:r w:rsidR="0049090C" w:rsidRPr="002F4565">
        <w:rPr>
          <w:lang w:val="pt-BR"/>
        </w:rPr>
        <w:t>investimento</w:t>
      </w:r>
      <w:r w:rsidR="00F21F55" w:rsidRPr="002F4565">
        <w:rPr>
          <w:lang w:val="pt-BR"/>
        </w:rPr>
        <w:t>s</w:t>
      </w:r>
      <w:r w:rsidRPr="002F4565">
        <w:rPr>
          <w:vertAlign w:val="superscript"/>
          <w:lang w:val="pt-BR"/>
        </w:rPr>
        <w:t>74</w:t>
      </w:r>
      <w:r w:rsidRPr="002F4565">
        <w:rPr>
          <w:lang w:val="pt-BR"/>
        </w:rPr>
        <w:t xml:space="preserve"> </w:t>
      </w:r>
      <w:r w:rsidR="00E62864" w:rsidRPr="002F4565">
        <w:rPr>
          <w:lang w:val="pt-BR"/>
        </w:rPr>
        <w:t xml:space="preserve">para </w:t>
      </w:r>
      <w:r w:rsidR="00624BDC" w:rsidRPr="002F4565">
        <w:rPr>
          <w:lang w:val="pt-BR"/>
        </w:rPr>
        <w:t>proteger</w:t>
      </w:r>
      <w:r w:rsidRPr="002F4565">
        <w:rPr>
          <w:lang w:val="pt-BR"/>
        </w:rPr>
        <w:t xml:space="preserve"> </w:t>
      </w:r>
      <w:r w:rsidR="00261A8A" w:rsidRPr="002F4565">
        <w:rPr>
          <w:lang w:val="pt-BR"/>
        </w:rPr>
        <w:t>o</w:t>
      </w:r>
      <w:r w:rsidRPr="002F4565">
        <w:rPr>
          <w:lang w:val="pt-BR"/>
        </w:rPr>
        <w:t xml:space="preserve"> </w:t>
      </w:r>
      <w:r w:rsidR="00BF5705" w:rsidRPr="002F4565">
        <w:rPr>
          <w:lang w:val="pt-BR"/>
        </w:rPr>
        <w:t>interesse</w:t>
      </w:r>
      <w:r w:rsidRPr="002F4565">
        <w:rPr>
          <w:lang w:val="pt-BR"/>
        </w:rPr>
        <w:t xml:space="preserve"> </w:t>
      </w:r>
      <w:r w:rsidR="00E62864" w:rsidRPr="002F4565">
        <w:rPr>
          <w:lang w:val="pt-BR"/>
        </w:rPr>
        <w:t xml:space="preserve">comercial </w:t>
      </w:r>
      <w:r w:rsidR="0049090C" w:rsidRPr="002F4565">
        <w:rPr>
          <w:lang w:val="pt-BR"/>
        </w:rPr>
        <w:t>d</w:t>
      </w:r>
      <w:r w:rsidR="00A2434B" w:rsidRPr="002F4565">
        <w:rPr>
          <w:lang w:val="pt-BR"/>
        </w:rPr>
        <w:t>as</w:t>
      </w:r>
      <w:r w:rsidRPr="002F4565">
        <w:rPr>
          <w:lang w:val="pt-BR"/>
        </w:rPr>
        <w:t xml:space="preserve"> </w:t>
      </w:r>
      <w:r w:rsidR="00E62864" w:rsidRPr="002F4565">
        <w:rPr>
          <w:lang w:val="pt-BR"/>
        </w:rPr>
        <w:t>partes contratantes</w:t>
      </w:r>
      <w:r w:rsidRPr="002F4565">
        <w:rPr>
          <w:lang w:val="pt-BR"/>
        </w:rPr>
        <w:t xml:space="preserve">, </w:t>
      </w:r>
      <w:r w:rsidR="00E62864" w:rsidRPr="002F4565">
        <w:rPr>
          <w:lang w:val="pt-BR"/>
        </w:rPr>
        <w:t>que beneficia</w:t>
      </w:r>
      <w:r w:rsidR="00A2434B" w:rsidRPr="002F4565">
        <w:rPr>
          <w:lang w:val="pt-BR"/>
        </w:rPr>
        <w:t>m</w:t>
      </w:r>
      <w:r w:rsidR="00E62864" w:rsidRPr="002F4565">
        <w:rPr>
          <w:lang w:val="pt-BR"/>
        </w:rPr>
        <w:t xml:space="preserve"> os interesses comerciais privados </w:t>
      </w:r>
      <w:r w:rsidR="0049090C" w:rsidRPr="002F4565">
        <w:rPr>
          <w:lang w:val="pt-BR"/>
        </w:rPr>
        <w:t>d</w:t>
      </w:r>
      <w:r w:rsidR="00E62864" w:rsidRPr="002F4565">
        <w:rPr>
          <w:lang w:val="pt-BR"/>
        </w:rPr>
        <w:t>as</w:t>
      </w:r>
      <w:r w:rsidRPr="002F4565">
        <w:rPr>
          <w:lang w:val="pt-BR"/>
        </w:rPr>
        <w:t xml:space="preserve"> TNCs. </w:t>
      </w:r>
      <w:r w:rsidR="00BF5705" w:rsidRPr="002F4565">
        <w:rPr>
          <w:lang w:val="pt-BR"/>
        </w:rPr>
        <w:t>Além disso</w:t>
      </w:r>
      <w:r w:rsidRPr="002F4565">
        <w:rPr>
          <w:lang w:val="pt-BR"/>
        </w:rPr>
        <w:t xml:space="preserve">, </w:t>
      </w:r>
      <w:r w:rsidR="0040430A" w:rsidRPr="002F4565">
        <w:rPr>
          <w:lang w:val="pt-BR"/>
        </w:rPr>
        <w:t>estes</w:t>
      </w:r>
      <w:r w:rsidRPr="002F4565">
        <w:rPr>
          <w:lang w:val="pt-BR"/>
        </w:rPr>
        <w:t xml:space="preserve"> </w:t>
      </w:r>
      <w:r w:rsidR="00E62864" w:rsidRPr="002F4565">
        <w:rPr>
          <w:lang w:val="pt-BR"/>
        </w:rPr>
        <w:t xml:space="preserve">tratados </w:t>
      </w:r>
      <w:r w:rsidR="0040430A" w:rsidRPr="002F4565">
        <w:rPr>
          <w:lang w:val="pt-BR"/>
        </w:rPr>
        <w:t>são</w:t>
      </w:r>
      <w:r w:rsidRPr="002F4565">
        <w:rPr>
          <w:lang w:val="pt-BR"/>
        </w:rPr>
        <w:t xml:space="preserve"> nego</w:t>
      </w:r>
      <w:r w:rsidR="00E62864" w:rsidRPr="002F4565">
        <w:rPr>
          <w:lang w:val="pt-BR"/>
        </w:rPr>
        <w:t>ciados sigilosamente sem qualquer discussão</w:t>
      </w:r>
      <w:r w:rsidRPr="002F4565">
        <w:rPr>
          <w:lang w:val="pt-BR"/>
        </w:rPr>
        <w:t xml:space="preserve"> </w:t>
      </w:r>
      <w:r w:rsidR="00E62864" w:rsidRPr="002F4565">
        <w:rPr>
          <w:lang w:val="pt-BR"/>
        </w:rPr>
        <w:t>em nível doméstico</w:t>
      </w:r>
      <w:r w:rsidRPr="002F4565">
        <w:rPr>
          <w:lang w:val="pt-BR"/>
        </w:rPr>
        <w:t xml:space="preserve">, </w:t>
      </w:r>
      <w:r w:rsidR="00E62864" w:rsidRPr="002F4565">
        <w:rPr>
          <w:lang w:val="pt-BR"/>
        </w:rPr>
        <w:t xml:space="preserve">o que </w:t>
      </w:r>
      <w:r w:rsidR="005A25F5" w:rsidRPr="002F4565">
        <w:rPr>
          <w:lang w:val="pt-BR"/>
        </w:rPr>
        <w:t>não</w:t>
      </w:r>
      <w:r w:rsidRPr="002F4565">
        <w:rPr>
          <w:lang w:val="pt-BR"/>
        </w:rPr>
        <w:t xml:space="preserve"> </w:t>
      </w:r>
      <w:r w:rsidR="00E62864" w:rsidRPr="002F4565">
        <w:rPr>
          <w:lang w:val="pt-BR"/>
        </w:rPr>
        <w:t xml:space="preserve">é </w:t>
      </w:r>
      <w:r w:rsidRPr="002F4565">
        <w:rPr>
          <w:lang w:val="pt-BR"/>
        </w:rPr>
        <w:t>compa</w:t>
      </w:r>
      <w:r w:rsidR="00547170" w:rsidRPr="002F4565">
        <w:rPr>
          <w:lang w:val="pt-BR"/>
        </w:rPr>
        <w:t>tível</w:t>
      </w:r>
      <w:r w:rsidRPr="002F4565">
        <w:rPr>
          <w:lang w:val="pt-BR"/>
        </w:rPr>
        <w:t xml:space="preserve"> </w:t>
      </w:r>
      <w:r w:rsidR="00F21F55" w:rsidRPr="002F4565">
        <w:rPr>
          <w:lang w:val="pt-BR"/>
        </w:rPr>
        <w:t>com</w:t>
      </w:r>
      <w:r w:rsidRPr="002F4565">
        <w:rPr>
          <w:lang w:val="pt-BR"/>
        </w:rPr>
        <w:t xml:space="preserve"> </w:t>
      </w:r>
      <w:r w:rsidR="00261A8A" w:rsidRPr="002F4565">
        <w:rPr>
          <w:lang w:val="pt-BR"/>
        </w:rPr>
        <w:t>o</w:t>
      </w:r>
      <w:r w:rsidRPr="002F4565">
        <w:rPr>
          <w:lang w:val="pt-BR"/>
        </w:rPr>
        <w:t xml:space="preserve"> </w:t>
      </w:r>
      <w:r w:rsidR="00F21F55" w:rsidRPr="002F4565">
        <w:rPr>
          <w:lang w:val="pt-BR"/>
        </w:rPr>
        <w:t xml:space="preserve">direito à </w:t>
      </w:r>
      <w:r w:rsidR="00E62864" w:rsidRPr="002F4565">
        <w:rPr>
          <w:lang w:val="pt-BR"/>
        </w:rPr>
        <w:t xml:space="preserve">estrutura de </w:t>
      </w:r>
      <w:proofErr w:type="gramStart"/>
      <w:r w:rsidR="00E62864" w:rsidRPr="002F4565">
        <w:rPr>
          <w:lang w:val="pt-BR"/>
        </w:rPr>
        <w:t>saúde</w:t>
      </w:r>
      <w:r w:rsidRPr="002F4565">
        <w:rPr>
          <w:lang w:val="pt-BR"/>
        </w:rPr>
        <w:t>.</w:t>
      </w:r>
      <w:proofErr w:type="gramEnd"/>
      <w:r w:rsidRPr="002F4565">
        <w:rPr>
          <w:vertAlign w:val="superscript"/>
          <w:lang w:val="pt-BR"/>
        </w:rPr>
        <w:t>75</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52. </w:t>
      </w:r>
      <w:r w:rsidR="00791370" w:rsidRPr="002F4565">
        <w:rPr>
          <w:lang w:val="pt-BR"/>
        </w:rPr>
        <w:t xml:space="preserve">Os </w:t>
      </w:r>
      <w:r w:rsidR="00E62864" w:rsidRPr="002F4565">
        <w:rPr>
          <w:lang w:val="pt-BR"/>
        </w:rPr>
        <w:t>tratados</w:t>
      </w:r>
      <w:r w:rsidRPr="002F4565">
        <w:rPr>
          <w:lang w:val="pt-BR"/>
        </w:rPr>
        <w:t xml:space="preserve"> </w:t>
      </w:r>
      <w:r w:rsidR="00791370" w:rsidRPr="002F4565">
        <w:rPr>
          <w:lang w:val="pt-BR"/>
        </w:rPr>
        <w:t xml:space="preserve">de investimentos comerciais estabelecem </w:t>
      </w:r>
      <w:r w:rsidR="00F21F55" w:rsidRPr="002F4565">
        <w:rPr>
          <w:lang w:val="pt-BR"/>
        </w:rPr>
        <w:t>obrigações</w:t>
      </w:r>
      <w:r w:rsidRPr="002F4565">
        <w:rPr>
          <w:lang w:val="pt-BR"/>
        </w:rPr>
        <w:t xml:space="preserve"> </w:t>
      </w:r>
      <w:r w:rsidR="006A31E1" w:rsidRPr="002F4565">
        <w:rPr>
          <w:lang w:val="pt-BR"/>
        </w:rPr>
        <w:t>que</w:t>
      </w:r>
      <w:r w:rsidRPr="002F4565">
        <w:rPr>
          <w:lang w:val="pt-BR"/>
        </w:rPr>
        <w:t xml:space="preserve"> </w:t>
      </w:r>
      <w:r w:rsidR="00791370" w:rsidRPr="002F4565">
        <w:rPr>
          <w:lang w:val="pt-BR"/>
        </w:rPr>
        <w:t xml:space="preserve">vinculam </w:t>
      </w:r>
      <w:r w:rsidRPr="002F4565">
        <w:rPr>
          <w:lang w:val="pt-BR"/>
        </w:rPr>
        <w:t>automa</w:t>
      </w:r>
      <w:r w:rsidR="00791370" w:rsidRPr="002F4565">
        <w:rPr>
          <w:lang w:val="pt-BR"/>
        </w:rPr>
        <w:t>ticamente</w:t>
      </w:r>
      <w:r w:rsidRPr="002F4565">
        <w:rPr>
          <w:lang w:val="pt-BR"/>
        </w:rPr>
        <w:t xml:space="preserve"> </w:t>
      </w:r>
      <w:r w:rsidR="00791370" w:rsidRPr="002F4565">
        <w:rPr>
          <w:lang w:val="pt-BR"/>
        </w:rPr>
        <w:t>o</w:t>
      </w:r>
      <w:r w:rsidR="004069A0" w:rsidRPr="002F4565">
        <w:rPr>
          <w:lang w:val="pt-BR"/>
        </w:rPr>
        <w:t>s Estados</w:t>
      </w:r>
      <w:r w:rsidRPr="002F4565">
        <w:rPr>
          <w:lang w:val="pt-BR"/>
        </w:rPr>
        <w:t xml:space="preserve">. </w:t>
      </w:r>
      <w:r w:rsidR="00791370" w:rsidRPr="002F4565">
        <w:rPr>
          <w:lang w:val="pt-BR"/>
        </w:rPr>
        <w:t xml:space="preserve">Para cumprir estas </w:t>
      </w:r>
      <w:r w:rsidR="00F21F55" w:rsidRPr="002F4565">
        <w:rPr>
          <w:lang w:val="pt-BR"/>
        </w:rPr>
        <w:t>obrigações</w:t>
      </w:r>
      <w:r w:rsidRPr="002F4565">
        <w:rPr>
          <w:lang w:val="pt-BR"/>
        </w:rPr>
        <w:t xml:space="preserve">, </w:t>
      </w:r>
      <w:r w:rsidR="00791370" w:rsidRPr="002F4565">
        <w:rPr>
          <w:lang w:val="pt-BR"/>
        </w:rPr>
        <w:t>o</w:t>
      </w:r>
      <w:r w:rsidR="004069A0" w:rsidRPr="002F4565">
        <w:rPr>
          <w:lang w:val="pt-BR"/>
        </w:rPr>
        <w:t>s Estados</w:t>
      </w:r>
      <w:r w:rsidRPr="002F4565">
        <w:rPr>
          <w:lang w:val="pt-BR"/>
        </w:rPr>
        <w:t xml:space="preserve"> </w:t>
      </w:r>
      <w:r w:rsidR="000E48EB" w:rsidRPr="002F4565">
        <w:rPr>
          <w:lang w:val="pt-BR"/>
        </w:rPr>
        <w:t>podem</w:t>
      </w:r>
      <w:r w:rsidRPr="002F4565">
        <w:rPr>
          <w:lang w:val="pt-BR"/>
        </w:rPr>
        <w:t xml:space="preserve"> </w:t>
      </w:r>
      <w:r w:rsidR="00791370" w:rsidRPr="002F4565">
        <w:rPr>
          <w:lang w:val="pt-BR"/>
        </w:rPr>
        <w:t xml:space="preserve">ser obrigados a modificar </w:t>
      </w:r>
      <w:r w:rsidR="0049090C" w:rsidRPr="002F4565">
        <w:rPr>
          <w:lang w:val="pt-BR"/>
        </w:rPr>
        <w:t>políticas</w:t>
      </w:r>
      <w:r w:rsidRPr="002F4565">
        <w:rPr>
          <w:lang w:val="pt-BR"/>
        </w:rPr>
        <w:t xml:space="preserve"> </w:t>
      </w:r>
      <w:r w:rsidR="00791370" w:rsidRPr="002F4565">
        <w:rPr>
          <w:lang w:val="pt-BR"/>
        </w:rPr>
        <w:t xml:space="preserve">nacionais como as </w:t>
      </w:r>
      <w:r w:rsidR="0049090C" w:rsidRPr="002F4565">
        <w:rPr>
          <w:lang w:val="pt-BR"/>
        </w:rPr>
        <w:t>políticas</w:t>
      </w:r>
      <w:r w:rsidR="00791370" w:rsidRPr="002F4565">
        <w:rPr>
          <w:lang w:val="pt-BR"/>
        </w:rPr>
        <w:t xml:space="preserve"> agrícolas ou de rotulagem</w:t>
      </w:r>
      <w:r w:rsidRPr="002F4565">
        <w:rPr>
          <w:lang w:val="pt-BR"/>
        </w:rPr>
        <w:t xml:space="preserve">. </w:t>
      </w:r>
      <w:r w:rsidR="00791370" w:rsidRPr="002F4565">
        <w:rPr>
          <w:lang w:val="pt-BR"/>
        </w:rPr>
        <w:t>Como resultado</w:t>
      </w:r>
      <w:r w:rsidRPr="002F4565">
        <w:rPr>
          <w:lang w:val="pt-BR"/>
        </w:rPr>
        <w:t xml:space="preserve">, </w:t>
      </w:r>
      <w:r w:rsidR="00791370" w:rsidRPr="002F4565">
        <w:rPr>
          <w:lang w:val="pt-BR"/>
        </w:rPr>
        <w:t>a</w:t>
      </w:r>
      <w:r w:rsidRPr="002F4565">
        <w:rPr>
          <w:lang w:val="pt-BR"/>
        </w:rPr>
        <w:t xml:space="preserve"> </w:t>
      </w:r>
      <w:r w:rsidR="00791370" w:rsidRPr="002F4565">
        <w:rPr>
          <w:lang w:val="pt-BR"/>
        </w:rPr>
        <w:t>função</w:t>
      </w:r>
      <w:r w:rsidRPr="002F4565">
        <w:rPr>
          <w:lang w:val="pt-BR"/>
        </w:rPr>
        <w:t xml:space="preserve"> </w:t>
      </w:r>
      <w:r w:rsidR="0049090C" w:rsidRPr="002F4565">
        <w:rPr>
          <w:lang w:val="pt-BR"/>
        </w:rPr>
        <w:t>d</w:t>
      </w:r>
      <w:r w:rsidR="00791370" w:rsidRPr="002F4565">
        <w:rPr>
          <w:lang w:val="pt-BR"/>
        </w:rPr>
        <w:t>o</w:t>
      </w:r>
      <w:r w:rsidR="004069A0" w:rsidRPr="002F4565">
        <w:rPr>
          <w:lang w:val="pt-BR"/>
        </w:rPr>
        <w:t>s Estados</w:t>
      </w:r>
      <w:r w:rsidRPr="002F4565">
        <w:rPr>
          <w:lang w:val="pt-BR"/>
        </w:rPr>
        <w:t xml:space="preserve"> </w:t>
      </w:r>
      <w:r w:rsidR="00791370" w:rsidRPr="002F4565">
        <w:rPr>
          <w:lang w:val="pt-BR"/>
        </w:rPr>
        <w:t>de</w:t>
      </w:r>
      <w:r w:rsidRPr="002F4565">
        <w:rPr>
          <w:lang w:val="pt-BR"/>
        </w:rPr>
        <w:t xml:space="preserve"> </w:t>
      </w:r>
      <w:r w:rsidR="002E1AA7" w:rsidRPr="002F4565">
        <w:rPr>
          <w:lang w:val="pt-BR"/>
        </w:rPr>
        <w:t>formular</w:t>
      </w:r>
      <w:r w:rsidRPr="002F4565">
        <w:rPr>
          <w:lang w:val="pt-BR"/>
        </w:rPr>
        <w:t xml:space="preserve"> </w:t>
      </w:r>
      <w:r w:rsidR="00791370" w:rsidRPr="002F4565">
        <w:rPr>
          <w:lang w:val="pt-BR"/>
        </w:rPr>
        <w:t xml:space="preserve">políticas domésticas é distorcida </w:t>
      </w:r>
      <w:r w:rsidR="00FB4DE4" w:rsidRPr="002F4565">
        <w:rPr>
          <w:lang w:val="pt-BR"/>
        </w:rPr>
        <w:t>em</w:t>
      </w:r>
      <w:r w:rsidRPr="002F4565">
        <w:rPr>
          <w:lang w:val="pt-BR"/>
        </w:rPr>
        <w:t xml:space="preserve"> favor </w:t>
      </w:r>
      <w:r w:rsidR="00791370" w:rsidRPr="002F4565">
        <w:rPr>
          <w:lang w:val="pt-BR"/>
        </w:rPr>
        <w:t xml:space="preserve">dos direitos privados </w:t>
      </w:r>
      <w:r w:rsidR="0049090C" w:rsidRPr="002F4565">
        <w:rPr>
          <w:lang w:val="pt-BR"/>
        </w:rPr>
        <w:t>d</w:t>
      </w:r>
      <w:r w:rsidR="00791370" w:rsidRPr="002F4565">
        <w:rPr>
          <w:lang w:val="pt-BR"/>
        </w:rPr>
        <w:t>as</w:t>
      </w:r>
      <w:r w:rsidRPr="002F4565">
        <w:rPr>
          <w:lang w:val="pt-BR"/>
        </w:rPr>
        <w:t xml:space="preserve"> </w:t>
      </w:r>
      <w:r w:rsidR="00C47496" w:rsidRPr="002F4565">
        <w:rPr>
          <w:lang w:val="pt-BR"/>
        </w:rPr>
        <w:t>indústrias</w:t>
      </w:r>
      <w:r w:rsidR="00791370" w:rsidRPr="002F4565">
        <w:rPr>
          <w:lang w:val="pt-BR"/>
        </w:rPr>
        <w:t xml:space="preserve"> de alimentos e bebidas</w:t>
      </w:r>
      <w:r w:rsidRPr="002F4565">
        <w:rPr>
          <w:lang w:val="pt-BR"/>
        </w:rPr>
        <w:t xml:space="preserve">, </w:t>
      </w:r>
      <w:r w:rsidR="00791370" w:rsidRPr="002F4565">
        <w:rPr>
          <w:lang w:val="pt-BR"/>
        </w:rPr>
        <w:t>em lugar dos direitos</w:t>
      </w:r>
      <w:r w:rsidRPr="002F4565">
        <w:rPr>
          <w:lang w:val="pt-BR"/>
        </w:rPr>
        <w:t xml:space="preserve"> </w:t>
      </w:r>
      <w:r w:rsidR="00791370" w:rsidRPr="002F4565">
        <w:rPr>
          <w:lang w:val="pt-BR"/>
        </w:rPr>
        <w:t xml:space="preserve">públicos </w:t>
      </w:r>
      <w:r w:rsidR="0049090C" w:rsidRPr="002F4565">
        <w:rPr>
          <w:lang w:val="pt-BR"/>
        </w:rPr>
        <w:t>d</w:t>
      </w:r>
      <w:r w:rsidR="00791370" w:rsidRPr="002F4565">
        <w:rPr>
          <w:lang w:val="pt-BR"/>
        </w:rPr>
        <w:t>a</w:t>
      </w:r>
      <w:r w:rsidRPr="002F4565">
        <w:rPr>
          <w:lang w:val="pt-BR"/>
        </w:rPr>
        <w:t xml:space="preserve"> popul</w:t>
      </w:r>
      <w:r w:rsidR="00F21F55" w:rsidRPr="002F4565">
        <w:rPr>
          <w:lang w:val="pt-BR"/>
        </w:rPr>
        <w:t>ação</w:t>
      </w:r>
      <w:r w:rsidR="00791370" w:rsidRPr="002F4565">
        <w:rPr>
          <w:lang w:val="pt-BR"/>
        </w:rPr>
        <w:t xml:space="preserve"> </w:t>
      </w:r>
      <w:proofErr w:type="gramStart"/>
      <w:r w:rsidR="00791370" w:rsidRPr="002F4565">
        <w:rPr>
          <w:lang w:val="pt-BR"/>
        </w:rPr>
        <w:t>afetada</w:t>
      </w:r>
      <w:r w:rsidRPr="002F4565">
        <w:rPr>
          <w:lang w:val="pt-BR"/>
        </w:rPr>
        <w:t>.</w:t>
      </w:r>
      <w:proofErr w:type="gramEnd"/>
      <w:r w:rsidRPr="002F4565">
        <w:rPr>
          <w:vertAlign w:val="superscript"/>
          <w:lang w:val="pt-BR"/>
        </w:rPr>
        <w:t>76</w:t>
      </w:r>
      <w:r w:rsidRPr="002F4565">
        <w:rPr>
          <w:lang w:val="pt-BR"/>
        </w:rPr>
        <w:t xml:space="preserve"> </w:t>
      </w:r>
      <w:r w:rsidR="0049090C" w:rsidRPr="002F4565">
        <w:rPr>
          <w:lang w:val="pt-BR"/>
        </w:rPr>
        <w:t>O</w:t>
      </w:r>
      <w:r w:rsidRPr="002F4565">
        <w:rPr>
          <w:lang w:val="pt-BR"/>
        </w:rPr>
        <w:t xml:space="preserve"> </w:t>
      </w:r>
      <w:r w:rsidR="00F21F55" w:rsidRPr="002F4565">
        <w:rPr>
          <w:lang w:val="pt-BR"/>
        </w:rPr>
        <w:t xml:space="preserve">direito à </w:t>
      </w:r>
      <w:r w:rsidR="00E62864" w:rsidRPr="002F4565">
        <w:rPr>
          <w:lang w:val="pt-BR"/>
        </w:rPr>
        <w:t>estrutura de saúde</w:t>
      </w:r>
      <w:r w:rsidRPr="002F4565">
        <w:rPr>
          <w:lang w:val="pt-BR"/>
        </w:rPr>
        <w:t xml:space="preserve">, </w:t>
      </w:r>
      <w:r w:rsidR="00791370" w:rsidRPr="002F4565">
        <w:rPr>
          <w:lang w:val="pt-BR"/>
        </w:rPr>
        <w:t>por outro lado</w:t>
      </w:r>
      <w:r w:rsidRPr="002F4565">
        <w:rPr>
          <w:lang w:val="pt-BR"/>
        </w:rPr>
        <w:t xml:space="preserve">, </w:t>
      </w:r>
      <w:r w:rsidR="00791370" w:rsidRPr="002F4565">
        <w:rPr>
          <w:lang w:val="pt-BR"/>
        </w:rPr>
        <w:t xml:space="preserve">exige </w:t>
      </w:r>
      <w:r w:rsidRPr="002F4565">
        <w:rPr>
          <w:lang w:val="pt-BR"/>
        </w:rPr>
        <w:t>transpar</w:t>
      </w:r>
      <w:r w:rsidR="003C09F9" w:rsidRPr="002F4565">
        <w:rPr>
          <w:lang w:val="pt-BR"/>
        </w:rPr>
        <w:t>ência</w:t>
      </w:r>
      <w:r w:rsidRPr="002F4565">
        <w:rPr>
          <w:lang w:val="pt-BR"/>
        </w:rPr>
        <w:t xml:space="preserve"> </w:t>
      </w:r>
      <w:r w:rsidR="00791370" w:rsidRPr="002F4565">
        <w:rPr>
          <w:lang w:val="pt-BR"/>
        </w:rPr>
        <w:t xml:space="preserve">nas </w:t>
      </w:r>
      <w:r w:rsidR="00624BDC" w:rsidRPr="002F4565">
        <w:rPr>
          <w:lang w:val="pt-BR"/>
        </w:rPr>
        <w:t>atividades</w:t>
      </w:r>
      <w:r w:rsidRPr="002F4565">
        <w:rPr>
          <w:lang w:val="pt-BR"/>
        </w:rPr>
        <w:t xml:space="preserve"> </w:t>
      </w:r>
      <w:r w:rsidR="006A31E1" w:rsidRPr="002F4565">
        <w:rPr>
          <w:lang w:val="pt-BR"/>
        </w:rPr>
        <w:t>que</w:t>
      </w:r>
      <w:r w:rsidRPr="002F4565">
        <w:rPr>
          <w:lang w:val="pt-BR"/>
        </w:rPr>
        <w:t xml:space="preserve"> </w:t>
      </w:r>
      <w:r w:rsidR="00791370" w:rsidRPr="002F4565">
        <w:rPr>
          <w:lang w:val="pt-BR"/>
        </w:rPr>
        <w:t xml:space="preserve">afetam </w:t>
      </w:r>
      <w:r w:rsidRPr="002F4565">
        <w:rPr>
          <w:lang w:val="pt-BR"/>
        </w:rPr>
        <w:t>diret</w:t>
      </w:r>
      <w:r w:rsidR="00791370" w:rsidRPr="002F4565">
        <w:rPr>
          <w:lang w:val="pt-BR"/>
        </w:rPr>
        <w:t xml:space="preserve">a </w:t>
      </w:r>
      <w:r w:rsidR="003F41C2" w:rsidRPr="002F4565">
        <w:rPr>
          <w:lang w:val="pt-BR"/>
        </w:rPr>
        <w:t>ou</w:t>
      </w:r>
      <w:r w:rsidRPr="002F4565">
        <w:rPr>
          <w:lang w:val="pt-BR"/>
        </w:rPr>
        <w:t xml:space="preserve"> indire</w:t>
      </w:r>
      <w:r w:rsidR="00791370" w:rsidRPr="002F4565">
        <w:rPr>
          <w:lang w:val="pt-BR"/>
        </w:rPr>
        <w:t xml:space="preserve">tamente a </w:t>
      </w:r>
      <w:r w:rsidR="00BF5705" w:rsidRPr="002F4565">
        <w:rPr>
          <w:lang w:val="pt-BR"/>
        </w:rPr>
        <w:t>governança</w:t>
      </w:r>
      <w:r w:rsidRPr="002F4565">
        <w:rPr>
          <w:lang w:val="pt-BR"/>
        </w:rPr>
        <w:t xml:space="preserve">. </w:t>
      </w:r>
      <w:r w:rsidR="00791370" w:rsidRPr="002F4565">
        <w:rPr>
          <w:lang w:val="pt-BR"/>
        </w:rPr>
        <w:t xml:space="preserve">Funciona como averiguação contra </w:t>
      </w:r>
      <w:r w:rsidR="00624BDC" w:rsidRPr="002F4565">
        <w:rPr>
          <w:lang w:val="pt-BR"/>
        </w:rPr>
        <w:t>decisões</w:t>
      </w:r>
      <w:r w:rsidRPr="002F4565">
        <w:rPr>
          <w:lang w:val="pt-BR"/>
        </w:rPr>
        <w:t xml:space="preserve"> </w:t>
      </w:r>
      <w:r w:rsidR="00791370" w:rsidRPr="002F4565">
        <w:rPr>
          <w:lang w:val="pt-BR"/>
        </w:rPr>
        <w:t xml:space="preserve">arbitrárias </w:t>
      </w:r>
      <w:r w:rsidR="006A31E1" w:rsidRPr="002F4565">
        <w:rPr>
          <w:lang w:val="pt-BR"/>
        </w:rPr>
        <w:t>que</w:t>
      </w:r>
      <w:r w:rsidRPr="002F4565">
        <w:rPr>
          <w:lang w:val="pt-BR"/>
        </w:rPr>
        <w:t xml:space="preserve"> </w:t>
      </w:r>
      <w:r w:rsidR="000E48EB" w:rsidRPr="002F4565">
        <w:rPr>
          <w:lang w:val="pt-BR"/>
        </w:rPr>
        <w:t>podem</w:t>
      </w:r>
      <w:r w:rsidRPr="002F4565">
        <w:rPr>
          <w:lang w:val="pt-BR"/>
        </w:rPr>
        <w:t xml:space="preserve"> </w:t>
      </w:r>
      <w:r w:rsidR="00791370" w:rsidRPr="002F4565">
        <w:rPr>
          <w:lang w:val="pt-BR"/>
        </w:rPr>
        <w:t xml:space="preserve">ser tomadas pelos </w:t>
      </w:r>
      <w:r w:rsidR="004069A0" w:rsidRPr="002F4565">
        <w:rPr>
          <w:lang w:val="pt-BR"/>
        </w:rPr>
        <w:t>Estados</w:t>
      </w:r>
      <w:r w:rsidRPr="002F4565">
        <w:rPr>
          <w:lang w:val="pt-BR"/>
        </w:rPr>
        <w:t xml:space="preserve"> </w:t>
      </w:r>
      <w:r w:rsidR="0049090C" w:rsidRPr="002F4565">
        <w:rPr>
          <w:lang w:val="pt-BR"/>
        </w:rPr>
        <w:t>e</w:t>
      </w:r>
      <w:r w:rsidRPr="002F4565">
        <w:rPr>
          <w:lang w:val="pt-BR"/>
        </w:rPr>
        <w:t xml:space="preserve"> </w:t>
      </w:r>
      <w:r w:rsidR="00A2434B" w:rsidRPr="002F4565">
        <w:rPr>
          <w:lang w:val="pt-BR"/>
        </w:rPr>
        <w:t xml:space="preserve">impede </w:t>
      </w:r>
      <w:r w:rsidRPr="002F4565">
        <w:rPr>
          <w:lang w:val="pt-BR"/>
        </w:rPr>
        <w:t>viol</w:t>
      </w:r>
      <w:r w:rsidR="00F21F55" w:rsidRPr="002F4565">
        <w:rPr>
          <w:lang w:val="pt-BR"/>
        </w:rPr>
        <w:t>ações</w:t>
      </w:r>
      <w:r w:rsidRPr="002F4565">
        <w:rPr>
          <w:lang w:val="pt-BR"/>
        </w:rPr>
        <w:t xml:space="preserve"> </w:t>
      </w:r>
      <w:r w:rsidR="00791370" w:rsidRPr="002F4565">
        <w:rPr>
          <w:lang w:val="pt-BR"/>
        </w:rPr>
        <w:t xml:space="preserve">ao </w:t>
      </w:r>
      <w:r w:rsidR="00F21F55" w:rsidRPr="002F4565">
        <w:rPr>
          <w:lang w:val="pt-BR"/>
        </w:rPr>
        <w:t>direito à saúde</w:t>
      </w:r>
      <w:r w:rsidRPr="002F4565">
        <w:rPr>
          <w:lang w:val="pt-BR"/>
        </w:rPr>
        <w:t xml:space="preserve">. </w:t>
      </w:r>
      <w:r w:rsidR="00791370" w:rsidRPr="002F4565">
        <w:rPr>
          <w:lang w:val="pt-BR"/>
        </w:rPr>
        <w:t xml:space="preserve">Uma das maneiras pelas quais os </w:t>
      </w:r>
      <w:r w:rsidR="004069A0" w:rsidRPr="002F4565">
        <w:rPr>
          <w:lang w:val="pt-BR"/>
        </w:rPr>
        <w:t>Estados</w:t>
      </w:r>
      <w:r w:rsidRPr="002F4565">
        <w:rPr>
          <w:lang w:val="pt-BR"/>
        </w:rPr>
        <w:t xml:space="preserve"> </w:t>
      </w:r>
      <w:r w:rsidR="00791370" w:rsidRPr="002F4565">
        <w:rPr>
          <w:lang w:val="pt-BR"/>
        </w:rPr>
        <w:t xml:space="preserve">podem </w:t>
      </w:r>
      <w:r w:rsidR="006A31E1" w:rsidRPr="002F4565">
        <w:rPr>
          <w:lang w:val="pt-BR"/>
        </w:rPr>
        <w:t>garantir</w:t>
      </w:r>
      <w:r w:rsidRPr="002F4565">
        <w:rPr>
          <w:lang w:val="pt-BR"/>
        </w:rPr>
        <w:t xml:space="preserve"> transpar</w:t>
      </w:r>
      <w:r w:rsidR="003C09F9" w:rsidRPr="002F4565">
        <w:rPr>
          <w:lang w:val="pt-BR"/>
        </w:rPr>
        <w:t>ência</w:t>
      </w:r>
      <w:r w:rsidRPr="002F4565">
        <w:rPr>
          <w:lang w:val="pt-BR"/>
        </w:rPr>
        <w:t xml:space="preserve"> </w:t>
      </w:r>
      <w:r w:rsidR="005A25F5" w:rsidRPr="002F4565">
        <w:rPr>
          <w:lang w:val="pt-BR"/>
        </w:rPr>
        <w:t>é</w:t>
      </w:r>
      <w:r w:rsidRPr="002F4565">
        <w:rPr>
          <w:lang w:val="pt-BR"/>
        </w:rPr>
        <w:t xml:space="preserve"> </w:t>
      </w:r>
      <w:r w:rsidR="00791370" w:rsidRPr="002F4565">
        <w:rPr>
          <w:lang w:val="pt-BR"/>
        </w:rPr>
        <w:t xml:space="preserve">pela abertura de </w:t>
      </w:r>
      <w:r w:rsidRPr="002F4565">
        <w:rPr>
          <w:lang w:val="pt-BR"/>
        </w:rPr>
        <w:t>nego</w:t>
      </w:r>
      <w:r w:rsidR="00791370" w:rsidRPr="002F4565">
        <w:rPr>
          <w:lang w:val="pt-BR"/>
        </w:rPr>
        <w:t>c</w:t>
      </w:r>
      <w:r w:rsidRPr="002F4565">
        <w:rPr>
          <w:lang w:val="pt-BR"/>
        </w:rPr>
        <w:t>i</w:t>
      </w:r>
      <w:r w:rsidR="00F21F55" w:rsidRPr="002F4565">
        <w:rPr>
          <w:lang w:val="pt-BR"/>
        </w:rPr>
        <w:t>ações</w:t>
      </w:r>
      <w:r w:rsidRPr="002F4565">
        <w:rPr>
          <w:lang w:val="pt-BR"/>
        </w:rPr>
        <w:t xml:space="preserve"> </w:t>
      </w:r>
      <w:r w:rsidR="00791370" w:rsidRPr="002F4565">
        <w:rPr>
          <w:lang w:val="pt-BR"/>
        </w:rPr>
        <w:t xml:space="preserve">para incluir as </w:t>
      </w:r>
      <w:r w:rsidR="006A31E1" w:rsidRPr="002F4565">
        <w:rPr>
          <w:lang w:val="pt-BR"/>
        </w:rPr>
        <w:t>pessoas</w:t>
      </w:r>
      <w:r w:rsidRPr="002F4565">
        <w:rPr>
          <w:lang w:val="pt-BR"/>
        </w:rPr>
        <w:t xml:space="preserve"> </w:t>
      </w:r>
      <w:r w:rsidR="00791370" w:rsidRPr="002F4565">
        <w:rPr>
          <w:lang w:val="pt-BR"/>
        </w:rPr>
        <w:t xml:space="preserve">afetadas como, por exemplo, </w:t>
      </w:r>
      <w:r w:rsidR="00182B8E" w:rsidRPr="002F4565">
        <w:rPr>
          <w:lang w:val="pt-BR"/>
        </w:rPr>
        <w:t>produtores rurais</w:t>
      </w:r>
      <w:r w:rsidRPr="002F4565">
        <w:rPr>
          <w:lang w:val="pt-BR"/>
        </w:rPr>
        <w:t xml:space="preserve"> </w:t>
      </w:r>
      <w:r w:rsidR="0049090C" w:rsidRPr="002F4565">
        <w:rPr>
          <w:lang w:val="pt-BR"/>
        </w:rPr>
        <w:t>e</w:t>
      </w:r>
      <w:r w:rsidRPr="002F4565">
        <w:rPr>
          <w:lang w:val="pt-BR"/>
        </w:rPr>
        <w:t xml:space="preserve"> </w:t>
      </w:r>
      <w:r w:rsidR="002E1AA7" w:rsidRPr="002F4565">
        <w:rPr>
          <w:lang w:val="pt-BR"/>
        </w:rPr>
        <w:t>consumidores</w:t>
      </w:r>
      <w:r w:rsidRPr="002F4565">
        <w:rPr>
          <w:lang w:val="pt-BR"/>
        </w:rPr>
        <w:t xml:space="preserve">. </w:t>
      </w:r>
      <w:r w:rsidR="00791370" w:rsidRPr="002F4565">
        <w:rPr>
          <w:lang w:val="pt-BR"/>
        </w:rPr>
        <w:t>No mínimo</w:t>
      </w:r>
      <w:r w:rsidRPr="002F4565">
        <w:rPr>
          <w:lang w:val="pt-BR"/>
        </w:rPr>
        <w:t xml:space="preserve">, </w:t>
      </w:r>
      <w:r w:rsidR="00791370" w:rsidRPr="002F4565">
        <w:rPr>
          <w:lang w:val="pt-BR"/>
        </w:rPr>
        <w:t>o</w:t>
      </w:r>
      <w:r w:rsidR="004069A0" w:rsidRPr="002F4565">
        <w:rPr>
          <w:lang w:val="pt-BR"/>
        </w:rPr>
        <w:t>s Estados</w:t>
      </w:r>
      <w:r w:rsidRPr="002F4565">
        <w:rPr>
          <w:lang w:val="pt-BR"/>
        </w:rPr>
        <w:t xml:space="preserve"> </w:t>
      </w:r>
      <w:r w:rsidR="002E1AA7" w:rsidRPr="002F4565">
        <w:rPr>
          <w:lang w:val="pt-BR"/>
        </w:rPr>
        <w:t>devem</w:t>
      </w:r>
      <w:r w:rsidRPr="002F4565">
        <w:rPr>
          <w:lang w:val="pt-BR"/>
        </w:rPr>
        <w:t xml:space="preserve"> </w:t>
      </w:r>
      <w:r w:rsidR="00A2434B" w:rsidRPr="002F4565">
        <w:rPr>
          <w:lang w:val="pt-BR"/>
        </w:rPr>
        <w:t xml:space="preserve">disponibilizar </w:t>
      </w:r>
      <w:r w:rsidR="00303A80" w:rsidRPr="002F4565">
        <w:rPr>
          <w:lang w:val="pt-BR"/>
        </w:rPr>
        <w:t xml:space="preserve">o teor das </w:t>
      </w:r>
      <w:r w:rsidRPr="002F4565">
        <w:rPr>
          <w:lang w:val="pt-BR"/>
        </w:rPr>
        <w:t>nego</w:t>
      </w:r>
      <w:r w:rsidR="00303A80" w:rsidRPr="002F4565">
        <w:rPr>
          <w:lang w:val="pt-BR"/>
        </w:rPr>
        <w:t>c</w:t>
      </w:r>
      <w:r w:rsidRPr="002F4565">
        <w:rPr>
          <w:lang w:val="pt-BR"/>
        </w:rPr>
        <w:t>i</w:t>
      </w:r>
      <w:r w:rsidR="00F21F55" w:rsidRPr="002F4565">
        <w:rPr>
          <w:lang w:val="pt-BR"/>
        </w:rPr>
        <w:t>ações</w:t>
      </w:r>
      <w:r w:rsidRPr="002F4565">
        <w:rPr>
          <w:lang w:val="pt-BR"/>
        </w:rPr>
        <w:t xml:space="preserve"> </w:t>
      </w:r>
      <w:r w:rsidR="0049090C" w:rsidRPr="002F4565">
        <w:rPr>
          <w:lang w:val="pt-BR"/>
        </w:rPr>
        <w:t>e</w:t>
      </w:r>
      <w:r w:rsidRPr="002F4565">
        <w:rPr>
          <w:lang w:val="pt-BR"/>
        </w:rPr>
        <w:t xml:space="preserve"> </w:t>
      </w:r>
      <w:r w:rsidR="00303A80" w:rsidRPr="002F4565">
        <w:rPr>
          <w:lang w:val="pt-BR"/>
        </w:rPr>
        <w:t xml:space="preserve">dos acordos para escrutínio </w:t>
      </w:r>
      <w:r w:rsidR="003C09F9" w:rsidRPr="002F4565">
        <w:rPr>
          <w:lang w:val="pt-BR"/>
        </w:rPr>
        <w:t>públic</w:t>
      </w:r>
      <w:r w:rsidR="00303A80" w:rsidRPr="002F4565">
        <w:rPr>
          <w:lang w:val="pt-BR"/>
        </w:rPr>
        <w:t>o</w:t>
      </w:r>
      <w:r w:rsidRPr="002F4565">
        <w:rPr>
          <w:lang w:val="pt-BR"/>
        </w:rPr>
        <w:t xml:space="preserve"> </w:t>
      </w:r>
      <w:r w:rsidR="0049090C" w:rsidRPr="002F4565">
        <w:rPr>
          <w:lang w:val="pt-BR"/>
        </w:rPr>
        <w:t>e</w:t>
      </w:r>
      <w:r w:rsidRPr="002F4565">
        <w:rPr>
          <w:lang w:val="pt-BR"/>
        </w:rPr>
        <w:t xml:space="preserve"> </w:t>
      </w:r>
      <w:r w:rsidR="00303A80" w:rsidRPr="002F4565">
        <w:rPr>
          <w:lang w:val="pt-BR"/>
        </w:rPr>
        <w:t xml:space="preserve">estar </w:t>
      </w:r>
      <w:r w:rsidR="00A2434B" w:rsidRPr="002F4565">
        <w:rPr>
          <w:lang w:val="pt-BR"/>
        </w:rPr>
        <w:t xml:space="preserve">abertos </w:t>
      </w:r>
      <w:r w:rsidR="00303A80" w:rsidRPr="002F4565">
        <w:rPr>
          <w:lang w:val="pt-BR"/>
        </w:rPr>
        <w:t xml:space="preserve">para receber comentários dos </w:t>
      </w:r>
      <w:r w:rsidRPr="002F4565">
        <w:rPr>
          <w:i/>
          <w:lang w:val="pt-BR"/>
        </w:rPr>
        <w:t>stakeholders</w:t>
      </w:r>
      <w:r w:rsidRPr="002F4565">
        <w:rPr>
          <w:lang w:val="pt-BR"/>
        </w:rPr>
        <w:t xml:space="preserve"> </w:t>
      </w:r>
      <w:r w:rsidR="00303A80" w:rsidRPr="002F4565">
        <w:rPr>
          <w:lang w:val="pt-BR"/>
        </w:rPr>
        <w:t>antes de celebrar tais contratos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53. </w:t>
      </w:r>
      <w:r w:rsidR="00303A80" w:rsidRPr="002F4565">
        <w:rPr>
          <w:lang w:val="pt-BR"/>
        </w:rPr>
        <w:t>A r</w:t>
      </w:r>
      <w:r w:rsidR="005A25F5" w:rsidRPr="002F4565">
        <w:rPr>
          <w:lang w:val="pt-BR"/>
        </w:rPr>
        <w:t>esponsabilização</w:t>
      </w:r>
      <w:r w:rsidRPr="002F4565">
        <w:rPr>
          <w:lang w:val="pt-BR"/>
        </w:rPr>
        <w:t xml:space="preserve"> </w:t>
      </w:r>
      <w:r w:rsidR="00F21F55" w:rsidRPr="002F4565">
        <w:rPr>
          <w:lang w:val="pt-BR"/>
        </w:rPr>
        <w:t>também</w:t>
      </w:r>
      <w:r w:rsidRPr="002F4565">
        <w:rPr>
          <w:lang w:val="pt-BR"/>
        </w:rPr>
        <w:t xml:space="preserve"> </w:t>
      </w:r>
      <w:r w:rsidR="00303A80" w:rsidRPr="002F4565">
        <w:rPr>
          <w:lang w:val="pt-BR"/>
        </w:rPr>
        <w:t xml:space="preserve">pode ser assegurada por meio de </w:t>
      </w:r>
      <w:r w:rsidR="00C47496" w:rsidRPr="002F4565">
        <w:rPr>
          <w:lang w:val="pt-BR"/>
        </w:rPr>
        <w:t>indicadores</w:t>
      </w:r>
      <w:r w:rsidRPr="002F4565">
        <w:rPr>
          <w:lang w:val="pt-BR"/>
        </w:rPr>
        <w:t xml:space="preserve">, </w:t>
      </w:r>
      <w:r w:rsidR="00C47496" w:rsidRPr="002F4565">
        <w:rPr>
          <w:lang w:val="pt-BR"/>
        </w:rPr>
        <w:t>padrões de referência</w:t>
      </w:r>
      <w:r w:rsidRPr="002F4565">
        <w:rPr>
          <w:lang w:val="pt-BR"/>
        </w:rPr>
        <w:t xml:space="preserve"> </w:t>
      </w:r>
      <w:r w:rsidR="0049090C" w:rsidRPr="002F4565">
        <w:rPr>
          <w:lang w:val="pt-BR"/>
        </w:rPr>
        <w:t>e</w:t>
      </w:r>
      <w:r w:rsidRPr="002F4565">
        <w:rPr>
          <w:lang w:val="pt-BR"/>
        </w:rPr>
        <w:t xml:space="preserve"> </w:t>
      </w:r>
      <w:r w:rsidR="00303A80" w:rsidRPr="002F4565">
        <w:rPr>
          <w:lang w:val="pt-BR"/>
        </w:rPr>
        <w:t>meta</w:t>
      </w:r>
      <w:r w:rsidRPr="002F4565">
        <w:rPr>
          <w:lang w:val="pt-BR"/>
        </w:rPr>
        <w:t xml:space="preserve">s </w:t>
      </w:r>
      <w:r w:rsidR="00303A80" w:rsidRPr="002F4565">
        <w:rPr>
          <w:lang w:val="pt-BR"/>
        </w:rPr>
        <w:t xml:space="preserve">em relação aos quais </w:t>
      </w:r>
      <w:r w:rsidR="00A2434B" w:rsidRPr="002F4565">
        <w:rPr>
          <w:lang w:val="pt-BR"/>
        </w:rPr>
        <w:t xml:space="preserve">pode ser monitorado e avaliado o </w:t>
      </w:r>
      <w:r w:rsidR="00303A80" w:rsidRPr="002F4565">
        <w:rPr>
          <w:lang w:val="pt-BR"/>
        </w:rPr>
        <w:t>desempenho</w:t>
      </w:r>
      <w:r w:rsidRPr="002F4565">
        <w:rPr>
          <w:lang w:val="pt-BR"/>
        </w:rPr>
        <w:t xml:space="preserve"> </w:t>
      </w:r>
      <w:r w:rsidR="0049090C" w:rsidRPr="002F4565">
        <w:rPr>
          <w:lang w:val="pt-BR"/>
        </w:rPr>
        <w:t>de</w:t>
      </w:r>
      <w:r w:rsidRPr="002F4565">
        <w:rPr>
          <w:lang w:val="pt-BR"/>
        </w:rPr>
        <w:t xml:space="preserve"> </w:t>
      </w:r>
      <w:r w:rsidR="00303A80" w:rsidRPr="002F4565">
        <w:rPr>
          <w:lang w:val="pt-BR"/>
        </w:rPr>
        <w:t xml:space="preserve">agentes do </w:t>
      </w:r>
      <w:r w:rsidR="006A31E1" w:rsidRPr="002F4565">
        <w:rPr>
          <w:lang w:val="pt-BR"/>
        </w:rPr>
        <w:t>Estado</w:t>
      </w:r>
      <w:r w:rsidRPr="002F4565">
        <w:rPr>
          <w:lang w:val="pt-BR"/>
        </w:rPr>
        <w:t xml:space="preserve"> </w:t>
      </w:r>
      <w:r w:rsidR="0049090C" w:rsidRPr="002F4565">
        <w:rPr>
          <w:lang w:val="pt-BR"/>
        </w:rPr>
        <w:t>e</w:t>
      </w:r>
      <w:r w:rsidRPr="002F4565">
        <w:rPr>
          <w:lang w:val="pt-BR"/>
        </w:rPr>
        <w:t xml:space="preserve"> </w:t>
      </w:r>
      <w:r w:rsidR="00303A80" w:rsidRPr="002F4565">
        <w:rPr>
          <w:lang w:val="pt-BR"/>
        </w:rPr>
        <w:t xml:space="preserve">não pertencentes ao </w:t>
      </w:r>
      <w:r w:rsidR="006A31E1" w:rsidRPr="002F4565">
        <w:rPr>
          <w:lang w:val="pt-BR"/>
        </w:rPr>
        <w:t>Estado</w:t>
      </w:r>
      <w:r w:rsidRPr="002F4565">
        <w:rPr>
          <w:lang w:val="pt-BR"/>
        </w:rPr>
        <w:t xml:space="preserve"> </w:t>
      </w:r>
      <w:r w:rsidR="00303A80" w:rsidRPr="002F4565">
        <w:rPr>
          <w:lang w:val="pt-BR"/>
        </w:rPr>
        <w:t xml:space="preserve">ao atingir as metas de reduzir o </w:t>
      </w:r>
      <w:r w:rsidR="006A31E1" w:rsidRPr="002F4565">
        <w:rPr>
          <w:lang w:val="pt-BR"/>
        </w:rPr>
        <w:t>risco</w:t>
      </w:r>
      <w:r w:rsidRPr="002F4565">
        <w:rPr>
          <w:lang w:val="pt-BR"/>
        </w:rPr>
        <w:t xml:space="preserve"> </w:t>
      </w:r>
      <w:r w:rsidR="0049090C" w:rsidRPr="002F4565">
        <w:rPr>
          <w:lang w:val="pt-BR"/>
        </w:rPr>
        <w:t>e</w:t>
      </w:r>
      <w:r w:rsidRPr="002F4565">
        <w:rPr>
          <w:lang w:val="pt-BR"/>
        </w:rPr>
        <w:t xml:space="preserve"> preval</w:t>
      </w:r>
      <w:r w:rsidR="007E67D2" w:rsidRPr="002F4565">
        <w:rPr>
          <w:lang w:val="pt-BR"/>
        </w:rPr>
        <w:t>ência</w:t>
      </w:r>
      <w:r w:rsidRPr="002F4565">
        <w:rPr>
          <w:lang w:val="pt-BR"/>
        </w:rPr>
        <w:t xml:space="preserve"> </w:t>
      </w:r>
      <w:r w:rsidR="0049090C" w:rsidRPr="002F4565">
        <w:rPr>
          <w:lang w:val="pt-BR"/>
        </w:rPr>
        <w:t>de</w:t>
      </w:r>
      <w:r w:rsidRPr="002F4565">
        <w:rPr>
          <w:lang w:val="pt-BR"/>
        </w:rPr>
        <w:t xml:space="preserve"> </w:t>
      </w:r>
      <w:proofErr w:type="gramStart"/>
      <w:r w:rsidR="0049090C" w:rsidRPr="002F4565">
        <w:rPr>
          <w:lang w:val="pt-BR"/>
        </w:rPr>
        <w:t>DNT</w:t>
      </w:r>
      <w:r w:rsidRPr="002F4565">
        <w:rPr>
          <w:lang w:val="pt-BR"/>
        </w:rPr>
        <w:t>s.</w:t>
      </w:r>
      <w:proofErr w:type="gramEnd"/>
      <w:r w:rsidRPr="002F4565">
        <w:rPr>
          <w:vertAlign w:val="superscript"/>
          <w:lang w:val="pt-BR"/>
        </w:rPr>
        <w:t>77</w:t>
      </w:r>
      <w:r w:rsidRPr="002F4565">
        <w:rPr>
          <w:lang w:val="pt-BR"/>
        </w:rPr>
        <w:t xml:space="preserve"> </w:t>
      </w:r>
      <w:r w:rsidR="00303A80" w:rsidRPr="002F4565">
        <w:rPr>
          <w:lang w:val="pt-BR"/>
        </w:rPr>
        <w:t xml:space="preserve">Na medida em que múltiplas agências </w:t>
      </w:r>
      <w:r w:rsidR="0049090C" w:rsidRPr="002F4565">
        <w:rPr>
          <w:lang w:val="pt-BR"/>
        </w:rPr>
        <w:t>d</w:t>
      </w:r>
      <w:r w:rsidR="00303A80" w:rsidRPr="002F4565">
        <w:rPr>
          <w:lang w:val="pt-BR"/>
        </w:rPr>
        <w:t>o</w:t>
      </w:r>
      <w:r w:rsidRPr="002F4565">
        <w:rPr>
          <w:lang w:val="pt-BR"/>
        </w:rPr>
        <w:t xml:space="preserve"> </w:t>
      </w:r>
      <w:r w:rsidR="006A31E1" w:rsidRPr="002F4565">
        <w:rPr>
          <w:lang w:val="pt-BR"/>
        </w:rPr>
        <w:t>Estado</w:t>
      </w:r>
      <w:r w:rsidRPr="002F4565">
        <w:rPr>
          <w:lang w:val="pt-BR"/>
        </w:rPr>
        <w:t xml:space="preserve"> </w:t>
      </w:r>
      <w:r w:rsidR="000E48EB" w:rsidRPr="002F4565">
        <w:rPr>
          <w:lang w:val="pt-BR"/>
        </w:rPr>
        <w:t>podem</w:t>
      </w:r>
      <w:r w:rsidRPr="002F4565">
        <w:rPr>
          <w:lang w:val="pt-BR"/>
        </w:rPr>
        <w:t xml:space="preserve"> </w:t>
      </w:r>
      <w:r w:rsidR="00303A80" w:rsidRPr="002F4565">
        <w:rPr>
          <w:lang w:val="pt-BR"/>
        </w:rPr>
        <w:t xml:space="preserve">estar envolvidas na regulação das </w:t>
      </w:r>
      <w:r w:rsidR="00624BDC" w:rsidRPr="002F4565">
        <w:rPr>
          <w:lang w:val="pt-BR"/>
        </w:rPr>
        <w:t>atividades</w:t>
      </w:r>
      <w:r w:rsidRPr="002F4565">
        <w:rPr>
          <w:lang w:val="pt-BR"/>
        </w:rPr>
        <w:t xml:space="preserve"> </w:t>
      </w:r>
      <w:r w:rsidR="0049090C" w:rsidRPr="002F4565">
        <w:rPr>
          <w:lang w:val="pt-BR"/>
        </w:rPr>
        <w:t>d</w:t>
      </w:r>
      <w:r w:rsidR="00303A80"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49090C" w:rsidRPr="002F4565">
        <w:rPr>
          <w:lang w:val="pt-BR"/>
        </w:rPr>
        <w:t>e</w:t>
      </w:r>
      <w:r w:rsidRPr="002F4565">
        <w:rPr>
          <w:lang w:val="pt-BR"/>
        </w:rPr>
        <w:t xml:space="preserve"> </w:t>
      </w:r>
      <w:r w:rsidR="00303A80" w:rsidRPr="002F4565">
        <w:rPr>
          <w:lang w:val="pt-BR"/>
        </w:rPr>
        <w:t>de abastecimento de alimentos nutritivos</w:t>
      </w:r>
      <w:r w:rsidRPr="002F4565">
        <w:rPr>
          <w:lang w:val="pt-BR"/>
        </w:rPr>
        <w:t>,</w:t>
      </w:r>
      <w:r w:rsidRPr="002F4565">
        <w:rPr>
          <w:vertAlign w:val="superscript"/>
          <w:lang w:val="pt-BR"/>
        </w:rPr>
        <w:t>78</w:t>
      </w:r>
      <w:r w:rsidRPr="002F4565">
        <w:rPr>
          <w:lang w:val="pt-BR"/>
        </w:rPr>
        <w:t xml:space="preserve"> </w:t>
      </w:r>
      <w:r w:rsidR="00303A80" w:rsidRPr="002F4565">
        <w:rPr>
          <w:lang w:val="pt-BR"/>
        </w:rPr>
        <w:t xml:space="preserve">as </w:t>
      </w:r>
      <w:r w:rsidR="00F21F55" w:rsidRPr="002F4565">
        <w:rPr>
          <w:lang w:val="pt-BR"/>
        </w:rPr>
        <w:t>informações</w:t>
      </w:r>
      <w:r w:rsidRPr="002F4565">
        <w:rPr>
          <w:lang w:val="pt-BR"/>
        </w:rPr>
        <w:t xml:space="preserve"> </w:t>
      </w:r>
      <w:r w:rsidR="00303A80" w:rsidRPr="002F4565">
        <w:rPr>
          <w:lang w:val="pt-BR"/>
        </w:rPr>
        <w:t xml:space="preserve">que formam a base de seus </w:t>
      </w:r>
      <w:r w:rsidR="00BF5705" w:rsidRPr="002F4565">
        <w:rPr>
          <w:lang w:val="pt-BR"/>
        </w:rPr>
        <w:t>esforço</w:t>
      </w:r>
      <w:r w:rsidRPr="002F4565">
        <w:rPr>
          <w:lang w:val="pt-BR"/>
        </w:rPr>
        <w:t xml:space="preserve">s </w:t>
      </w:r>
      <w:r w:rsidR="00303A80" w:rsidRPr="002F4565">
        <w:rPr>
          <w:lang w:val="pt-BR"/>
        </w:rPr>
        <w:t xml:space="preserve">individuais e coletivos no sentido de alcançar </w:t>
      </w:r>
      <w:r w:rsidR="00261A8A" w:rsidRPr="002F4565">
        <w:rPr>
          <w:lang w:val="pt-BR"/>
        </w:rPr>
        <w:t>o</w:t>
      </w:r>
      <w:r w:rsidR="00303A80" w:rsidRPr="002F4565">
        <w:rPr>
          <w:lang w:val="pt-BR"/>
        </w:rPr>
        <w:t>s</w:t>
      </w:r>
      <w:r w:rsidRPr="002F4565">
        <w:rPr>
          <w:lang w:val="pt-BR"/>
        </w:rPr>
        <w:t xml:space="preserve"> </w:t>
      </w:r>
      <w:r w:rsidR="00C47496" w:rsidRPr="002F4565">
        <w:rPr>
          <w:lang w:val="pt-BR"/>
        </w:rPr>
        <w:t>padrões de referência</w:t>
      </w:r>
      <w:r w:rsidRPr="002F4565">
        <w:rPr>
          <w:lang w:val="pt-BR"/>
        </w:rPr>
        <w:t xml:space="preserve"> </w:t>
      </w:r>
      <w:r w:rsidR="00303A80" w:rsidRPr="002F4565">
        <w:rPr>
          <w:lang w:val="pt-BR"/>
        </w:rPr>
        <w:t xml:space="preserve">estabelecidos </w:t>
      </w:r>
      <w:r w:rsidR="002E1AA7" w:rsidRPr="002F4565">
        <w:rPr>
          <w:lang w:val="pt-BR"/>
        </w:rPr>
        <w:t xml:space="preserve">devem </w:t>
      </w:r>
      <w:r w:rsidR="00303A80" w:rsidRPr="002F4565">
        <w:rPr>
          <w:lang w:val="pt-BR"/>
        </w:rPr>
        <w:t xml:space="preserve">estar disponíveis ao </w:t>
      </w:r>
      <w:r w:rsidR="003C09F9" w:rsidRPr="002F4565">
        <w:rPr>
          <w:lang w:val="pt-BR"/>
        </w:rPr>
        <w:t>públic</w:t>
      </w:r>
      <w:r w:rsidR="00303A80" w:rsidRPr="002F4565">
        <w:rPr>
          <w:lang w:val="pt-BR"/>
        </w:rPr>
        <w:t>o</w:t>
      </w:r>
      <w:r w:rsidRPr="002F4565">
        <w:rPr>
          <w:lang w:val="pt-BR"/>
        </w:rPr>
        <w:t xml:space="preserve">. </w:t>
      </w:r>
      <w:r w:rsidR="00A2434B" w:rsidRPr="002F4565">
        <w:rPr>
          <w:lang w:val="pt-BR"/>
        </w:rPr>
        <w:t xml:space="preserve">Disponibilizar </w:t>
      </w:r>
      <w:r w:rsidR="00303A80" w:rsidRPr="002F4565">
        <w:rPr>
          <w:lang w:val="pt-BR"/>
        </w:rPr>
        <w:t xml:space="preserve">as </w:t>
      </w:r>
      <w:r w:rsidR="00F21F55" w:rsidRPr="002F4565">
        <w:rPr>
          <w:lang w:val="pt-BR"/>
        </w:rPr>
        <w:t>informações</w:t>
      </w:r>
      <w:r w:rsidRPr="002F4565">
        <w:rPr>
          <w:lang w:val="pt-BR"/>
        </w:rPr>
        <w:t xml:space="preserve"> </w:t>
      </w:r>
      <w:r w:rsidR="00303A80" w:rsidRPr="002F4565">
        <w:rPr>
          <w:lang w:val="pt-BR"/>
        </w:rPr>
        <w:t xml:space="preserve">ao </w:t>
      </w:r>
      <w:r w:rsidR="003C09F9" w:rsidRPr="002F4565">
        <w:rPr>
          <w:lang w:val="pt-BR"/>
        </w:rPr>
        <w:t>públic</w:t>
      </w:r>
      <w:r w:rsidR="00303A80" w:rsidRPr="002F4565">
        <w:rPr>
          <w:lang w:val="pt-BR"/>
        </w:rPr>
        <w:t>o</w:t>
      </w:r>
      <w:r w:rsidRPr="002F4565">
        <w:rPr>
          <w:lang w:val="pt-BR"/>
        </w:rPr>
        <w:t xml:space="preserve"> </w:t>
      </w:r>
      <w:r w:rsidR="0049090C" w:rsidRPr="002F4565">
        <w:rPr>
          <w:lang w:val="pt-BR"/>
        </w:rPr>
        <w:t>e</w:t>
      </w:r>
      <w:r w:rsidRPr="002F4565">
        <w:rPr>
          <w:lang w:val="pt-BR"/>
        </w:rPr>
        <w:t xml:space="preserve"> </w:t>
      </w:r>
      <w:r w:rsidR="00303A80" w:rsidRPr="002F4565">
        <w:rPr>
          <w:lang w:val="pt-BR"/>
        </w:rPr>
        <w:t xml:space="preserve">entidades de monitoramento </w:t>
      </w:r>
      <w:r w:rsidRPr="002F4565">
        <w:rPr>
          <w:lang w:val="pt-BR"/>
        </w:rPr>
        <w:t>independent</w:t>
      </w:r>
      <w:r w:rsidR="00303A80" w:rsidRPr="002F4565">
        <w:rPr>
          <w:lang w:val="pt-BR"/>
        </w:rPr>
        <w:t>e</w:t>
      </w:r>
      <w:r w:rsidRPr="002F4565">
        <w:rPr>
          <w:lang w:val="pt-BR"/>
        </w:rPr>
        <w:t xml:space="preserve"> </w:t>
      </w:r>
      <w:r w:rsidR="00303A80" w:rsidRPr="002F4565">
        <w:rPr>
          <w:lang w:val="pt-BR"/>
        </w:rPr>
        <w:t xml:space="preserve">permite que avaliem as </w:t>
      </w:r>
      <w:r w:rsidR="00624BDC" w:rsidRPr="002F4565">
        <w:rPr>
          <w:lang w:val="pt-BR"/>
        </w:rPr>
        <w:t>atividades</w:t>
      </w:r>
      <w:r w:rsidRPr="002F4565">
        <w:rPr>
          <w:lang w:val="pt-BR"/>
        </w:rPr>
        <w:t xml:space="preserve"> </w:t>
      </w:r>
      <w:r w:rsidR="0049090C" w:rsidRPr="002F4565">
        <w:rPr>
          <w:lang w:val="pt-BR"/>
        </w:rPr>
        <w:t>d</w:t>
      </w:r>
      <w:r w:rsidR="00303A80"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49090C" w:rsidRPr="002F4565">
        <w:rPr>
          <w:lang w:val="pt-BR"/>
        </w:rPr>
        <w:t>e</w:t>
      </w:r>
      <w:r w:rsidRPr="002F4565">
        <w:rPr>
          <w:lang w:val="pt-BR"/>
        </w:rPr>
        <w:t xml:space="preserve"> </w:t>
      </w:r>
      <w:r w:rsidR="00303A80" w:rsidRPr="002F4565">
        <w:rPr>
          <w:lang w:val="pt-BR"/>
        </w:rPr>
        <w:t xml:space="preserve">o cumprimento de </w:t>
      </w:r>
      <w:r w:rsidR="003C09F9" w:rsidRPr="002F4565">
        <w:rPr>
          <w:lang w:val="pt-BR"/>
        </w:rPr>
        <w:t>padrões</w:t>
      </w:r>
      <w:r w:rsidRPr="002F4565">
        <w:rPr>
          <w:lang w:val="pt-BR"/>
        </w:rPr>
        <w:t xml:space="preserve"> </w:t>
      </w:r>
      <w:r w:rsidR="0049090C" w:rsidRPr="002F4565">
        <w:rPr>
          <w:lang w:val="pt-BR"/>
        </w:rPr>
        <w:t>e</w:t>
      </w:r>
      <w:r w:rsidRPr="002F4565">
        <w:rPr>
          <w:lang w:val="pt-BR"/>
        </w:rPr>
        <w:t xml:space="preserve"> </w:t>
      </w:r>
      <w:r w:rsidR="00624BDC" w:rsidRPr="002F4565">
        <w:rPr>
          <w:lang w:val="pt-BR"/>
        </w:rPr>
        <w:t>leis</w:t>
      </w:r>
      <w:r w:rsidR="00303A80" w:rsidRPr="002F4565">
        <w:rPr>
          <w:lang w:val="pt-BR"/>
        </w:rPr>
        <w:t xml:space="preserve"> domésticos de </w:t>
      </w:r>
      <w:r w:rsidR="00BC3868" w:rsidRPr="002F4565">
        <w:rPr>
          <w:lang w:val="pt-BR"/>
        </w:rPr>
        <w:t>publicidade</w:t>
      </w:r>
      <w:r w:rsidR="00303A80" w:rsidRPr="002F4565">
        <w:rPr>
          <w:lang w:val="pt-BR"/>
        </w:rPr>
        <w:t>, rotulagem e nutrição</w:t>
      </w:r>
      <w:r w:rsidRPr="002F4565">
        <w:rPr>
          <w:lang w:val="pt-BR"/>
        </w:rPr>
        <w:t xml:space="preserve">. </w:t>
      </w:r>
      <w:r w:rsidR="004069A0" w:rsidRPr="002F4565">
        <w:rPr>
          <w:lang w:val="pt-BR"/>
        </w:rPr>
        <w:t>Os Estados</w:t>
      </w:r>
      <w:r w:rsidRPr="002F4565">
        <w:rPr>
          <w:lang w:val="pt-BR"/>
        </w:rPr>
        <w:t xml:space="preserve"> </w:t>
      </w:r>
      <w:r w:rsidR="002E1AA7" w:rsidRPr="002F4565">
        <w:rPr>
          <w:lang w:val="pt-BR"/>
        </w:rPr>
        <w:t>devem</w:t>
      </w:r>
      <w:r w:rsidRPr="002F4565">
        <w:rPr>
          <w:lang w:val="pt-BR"/>
        </w:rPr>
        <w:t xml:space="preserve"> </w:t>
      </w:r>
      <w:r w:rsidR="00F21F55" w:rsidRPr="002F4565">
        <w:rPr>
          <w:lang w:val="pt-BR"/>
        </w:rPr>
        <w:t>também</w:t>
      </w:r>
      <w:r w:rsidRPr="002F4565">
        <w:rPr>
          <w:lang w:val="pt-BR"/>
        </w:rPr>
        <w:t xml:space="preserve"> </w:t>
      </w:r>
      <w:r w:rsidR="007D4857" w:rsidRPr="002F4565">
        <w:rPr>
          <w:lang w:val="pt-BR"/>
        </w:rPr>
        <w:t>incentivar</w:t>
      </w:r>
      <w:r w:rsidRPr="002F4565">
        <w:rPr>
          <w:lang w:val="pt-BR"/>
        </w:rPr>
        <w:t xml:space="preserve"> </w:t>
      </w:r>
      <w:r w:rsidR="000D1B60" w:rsidRPr="002F4565">
        <w:rPr>
          <w:lang w:val="pt-BR"/>
        </w:rPr>
        <w:t xml:space="preserve">o </w:t>
      </w:r>
      <w:r w:rsidR="00303A80" w:rsidRPr="002F4565">
        <w:rPr>
          <w:lang w:val="pt-BR"/>
        </w:rPr>
        <w:t>monitoramento</w:t>
      </w:r>
      <w:r w:rsidRPr="002F4565">
        <w:rPr>
          <w:lang w:val="pt-BR"/>
        </w:rPr>
        <w:t xml:space="preserve"> </w:t>
      </w:r>
      <w:r w:rsidR="0049090C" w:rsidRPr="002F4565">
        <w:rPr>
          <w:lang w:val="pt-BR"/>
        </w:rPr>
        <w:t>de</w:t>
      </w:r>
      <w:r w:rsidRPr="002F4565">
        <w:rPr>
          <w:lang w:val="pt-BR"/>
        </w:rPr>
        <w:t xml:space="preserve"> </w:t>
      </w:r>
      <w:r w:rsidR="003F41C2" w:rsidRPr="002F4565">
        <w:rPr>
          <w:lang w:val="pt-BR"/>
        </w:rPr>
        <w:t>outros</w:t>
      </w:r>
      <w:r w:rsidRPr="002F4565">
        <w:rPr>
          <w:lang w:val="pt-BR"/>
        </w:rPr>
        <w:t xml:space="preserve"> </w:t>
      </w:r>
      <w:r w:rsidR="000D1B60" w:rsidRPr="002F4565">
        <w:rPr>
          <w:lang w:val="pt-BR"/>
        </w:rPr>
        <w:t xml:space="preserve">agentes não pertencentes ao </w:t>
      </w:r>
      <w:r w:rsidR="006A31E1" w:rsidRPr="002F4565">
        <w:rPr>
          <w:lang w:val="pt-BR"/>
        </w:rPr>
        <w:t>Estado</w:t>
      </w:r>
      <w:r w:rsidRPr="002F4565">
        <w:rPr>
          <w:lang w:val="pt-BR"/>
        </w:rPr>
        <w:t xml:space="preserve"> </w:t>
      </w:r>
      <w:r w:rsidR="000D1B60" w:rsidRPr="002F4565">
        <w:rPr>
          <w:lang w:val="pt-BR"/>
        </w:rPr>
        <w:t xml:space="preserve">como as escolas privadas </w:t>
      </w:r>
      <w:r w:rsidR="0049090C" w:rsidRPr="002F4565">
        <w:rPr>
          <w:lang w:val="pt-BR"/>
        </w:rPr>
        <w:t>e</w:t>
      </w:r>
      <w:r w:rsidRPr="002F4565">
        <w:rPr>
          <w:lang w:val="pt-BR"/>
        </w:rPr>
        <w:t xml:space="preserve"> </w:t>
      </w:r>
      <w:r w:rsidR="000D1B60" w:rsidRPr="002F4565">
        <w:rPr>
          <w:lang w:val="pt-BR"/>
        </w:rPr>
        <w:t xml:space="preserve">agências de </w:t>
      </w:r>
      <w:r w:rsidR="00A2434B" w:rsidRPr="002F4565">
        <w:rPr>
          <w:lang w:val="pt-BR"/>
        </w:rPr>
        <w:t xml:space="preserve">radiodifusão </w:t>
      </w:r>
      <w:r w:rsidR="000D1B60" w:rsidRPr="002F4565">
        <w:rPr>
          <w:lang w:val="pt-BR"/>
        </w:rPr>
        <w:t xml:space="preserve">e </w:t>
      </w:r>
      <w:r w:rsidR="000D1B60" w:rsidRPr="002F4565">
        <w:rPr>
          <w:lang w:val="pt-BR"/>
        </w:rPr>
        <w:lastRenderedPageBreak/>
        <w:t xml:space="preserve">comunicação para revisar sua </w:t>
      </w:r>
      <w:r w:rsidR="00791370" w:rsidRPr="002F4565">
        <w:rPr>
          <w:lang w:val="pt-BR"/>
        </w:rPr>
        <w:t>política</w:t>
      </w:r>
      <w:r w:rsidRPr="002F4565">
        <w:rPr>
          <w:lang w:val="pt-BR"/>
        </w:rPr>
        <w:t xml:space="preserve"> </w:t>
      </w:r>
      <w:r w:rsidR="000D1B60" w:rsidRPr="002F4565">
        <w:rPr>
          <w:lang w:val="pt-BR"/>
        </w:rPr>
        <w:t xml:space="preserve">em </w:t>
      </w:r>
      <w:r w:rsidR="00A2434B" w:rsidRPr="002F4565">
        <w:rPr>
          <w:lang w:val="pt-BR"/>
        </w:rPr>
        <w:t xml:space="preserve">relação à </w:t>
      </w:r>
      <w:r w:rsidR="00F21F55" w:rsidRPr="002F4565">
        <w:rPr>
          <w:lang w:val="pt-BR"/>
        </w:rPr>
        <w:t>indústria de alimentos</w:t>
      </w:r>
      <w:r w:rsidRPr="002F4565">
        <w:rPr>
          <w:lang w:val="pt-BR"/>
        </w:rPr>
        <w:t xml:space="preserve">. </w:t>
      </w:r>
      <w:r w:rsidR="000D1B60" w:rsidRPr="002F4565">
        <w:rPr>
          <w:lang w:val="pt-BR"/>
        </w:rPr>
        <w:t xml:space="preserve">A revisão e avaliação de medidas tomadas </w:t>
      </w:r>
      <w:r w:rsidR="0049090C" w:rsidRPr="002F4565">
        <w:rPr>
          <w:lang w:val="pt-BR"/>
        </w:rPr>
        <w:t>e</w:t>
      </w:r>
      <w:r w:rsidRPr="002F4565">
        <w:rPr>
          <w:lang w:val="pt-BR"/>
        </w:rPr>
        <w:t xml:space="preserve"> </w:t>
      </w:r>
      <w:r w:rsidR="003C09F9" w:rsidRPr="002F4565">
        <w:rPr>
          <w:lang w:val="pt-BR"/>
        </w:rPr>
        <w:t>padrões</w:t>
      </w:r>
      <w:r w:rsidRPr="002F4565">
        <w:rPr>
          <w:lang w:val="pt-BR"/>
        </w:rPr>
        <w:t xml:space="preserve"> </w:t>
      </w:r>
      <w:r w:rsidR="00072E1E" w:rsidRPr="002F4565">
        <w:rPr>
          <w:lang w:val="pt-BR"/>
        </w:rPr>
        <w:t>adota</w:t>
      </w:r>
      <w:r w:rsidR="000D1B60" w:rsidRPr="002F4565">
        <w:rPr>
          <w:lang w:val="pt-BR"/>
        </w:rPr>
        <w:t xml:space="preserve">dos por agentes dos </w:t>
      </w:r>
      <w:r w:rsidR="004069A0" w:rsidRPr="002F4565">
        <w:rPr>
          <w:lang w:val="pt-BR"/>
        </w:rPr>
        <w:t>Estados</w:t>
      </w:r>
      <w:r w:rsidRPr="002F4565">
        <w:rPr>
          <w:lang w:val="pt-BR"/>
        </w:rPr>
        <w:t xml:space="preserve"> </w:t>
      </w:r>
      <w:r w:rsidR="0049090C" w:rsidRPr="002F4565">
        <w:rPr>
          <w:lang w:val="pt-BR"/>
        </w:rPr>
        <w:t>e</w:t>
      </w:r>
      <w:r w:rsidRPr="002F4565">
        <w:rPr>
          <w:lang w:val="pt-BR"/>
        </w:rPr>
        <w:t xml:space="preserve"> </w:t>
      </w:r>
      <w:r w:rsidR="000D1B60" w:rsidRPr="002F4565">
        <w:rPr>
          <w:lang w:val="pt-BR"/>
        </w:rPr>
        <w:t xml:space="preserve">não pertencentes aos </w:t>
      </w:r>
      <w:r w:rsidR="006A31E1" w:rsidRPr="002F4565">
        <w:rPr>
          <w:lang w:val="pt-BR"/>
        </w:rPr>
        <w:t>Estado</w:t>
      </w:r>
      <w:r w:rsidR="000D1B60" w:rsidRPr="002F4565">
        <w:rPr>
          <w:lang w:val="pt-BR"/>
        </w:rPr>
        <w:t>s</w:t>
      </w:r>
      <w:r w:rsidRPr="002F4565">
        <w:rPr>
          <w:lang w:val="pt-BR"/>
        </w:rPr>
        <w:t xml:space="preserve"> </w:t>
      </w:r>
      <w:r w:rsidR="000D1B60" w:rsidRPr="002F4565">
        <w:rPr>
          <w:lang w:val="pt-BR"/>
        </w:rPr>
        <w:t xml:space="preserve">para </w:t>
      </w:r>
      <w:r w:rsidR="006A31E1" w:rsidRPr="002F4565">
        <w:rPr>
          <w:lang w:val="pt-BR"/>
        </w:rPr>
        <w:t>garantir</w:t>
      </w:r>
      <w:r w:rsidRPr="002F4565">
        <w:rPr>
          <w:lang w:val="pt-BR"/>
        </w:rPr>
        <w:t xml:space="preserve"> </w:t>
      </w:r>
      <w:r w:rsidR="000D1B60" w:rsidRPr="002F4565">
        <w:rPr>
          <w:lang w:val="pt-BR"/>
        </w:rPr>
        <w:t>a</w:t>
      </w:r>
      <w:r w:rsidRPr="002F4565">
        <w:rPr>
          <w:lang w:val="pt-BR"/>
        </w:rPr>
        <w:t xml:space="preserve"> </w:t>
      </w:r>
      <w:r w:rsidR="00FB4401" w:rsidRPr="002F4565">
        <w:rPr>
          <w:lang w:val="pt-BR"/>
        </w:rPr>
        <w:t>venda</w:t>
      </w:r>
      <w:r w:rsidRPr="002F4565">
        <w:rPr>
          <w:lang w:val="pt-BR"/>
        </w:rPr>
        <w:t xml:space="preserve"> </w:t>
      </w:r>
      <w:r w:rsidR="0049090C" w:rsidRPr="002F4565">
        <w:rPr>
          <w:lang w:val="pt-BR"/>
        </w:rPr>
        <w:t>e</w:t>
      </w:r>
      <w:r w:rsidRPr="002F4565">
        <w:rPr>
          <w:lang w:val="pt-BR"/>
        </w:rPr>
        <w:t xml:space="preserve"> </w:t>
      </w:r>
      <w:r w:rsidR="0049090C" w:rsidRPr="002F4565">
        <w:rPr>
          <w:lang w:val="pt-BR"/>
        </w:rPr>
        <w:t>disponibilidade</w:t>
      </w:r>
      <w:r w:rsidRPr="002F4565">
        <w:rPr>
          <w:lang w:val="pt-BR"/>
        </w:rPr>
        <w:t xml:space="preserve"> </w:t>
      </w:r>
      <w:r w:rsidR="0049090C" w:rsidRPr="002F4565">
        <w:rPr>
          <w:lang w:val="pt-BR"/>
        </w:rPr>
        <w:t>de</w:t>
      </w:r>
      <w:r w:rsidRPr="002F4565">
        <w:rPr>
          <w:lang w:val="pt-BR"/>
        </w:rPr>
        <w:t xml:space="preserve"> </w:t>
      </w:r>
      <w:r w:rsidR="00303A80" w:rsidRPr="002F4565">
        <w:rPr>
          <w:lang w:val="pt-BR"/>
        </w:rPr>
        <w:t>alimentos nutritivo</w:t>
      </w:r>
      <w:r w:rsidR="00261A8A" w:rsidRPr="002F4565">
        <w:rPr>
          <w:lang w:val="pt-BR"/>
        </w:rPr>
        <w:t>s</w:t>
      </w:r>
      <w:r w:rsidRPr="002F4565">
        <w:rPr>
          <w:lang w:val="pt-BR"/>
        </w:rPr>
        <w:t xml:space="preserve"> </w:t>
      </w:r>
      <w:r w:rsidR="00A2434B" w:rsidRPr="002F4565">
        <w:rPr>
          <w:lang w:val="pt-BR"/>
        </w:rPr>
        <w:t xml:space="preserve">compõem </w:t>
      </w:r>
      <w:r w:rsidR="000D1B60" w:rsidRPr="002F4565">
        <w:rPr>
          <w:lang w:val="pt-BR"/>
        </w:rPr>
        <w:t>a</w:t>
      </w:r>
      <w:r w:rsidRPr="002F4565">
        <w:rPr>
          <w:lang w:val="pt-BR"/>
        </w:rPr>
        <w:t xml:space="preserve"> </w:t>
      </w:r>
      <w:r w:rsidR="00E415D7" w:rsidRPr="002F4565">
        <w:rPr>
          <w:lang w:val="pt-BR"/>
        </w:rPr>
        <w:t>estrutura</w:t>
      </w:r>
      <w:r w:rsidR="000D1B60" w:rsidRPr="002F4565">
        <w:rPr>
          <w:lang w:val="pt-BR"/>
        </w:rPr>
        <w:t xml:space="preserve"> de responsabilização</w:t>
      </w:r>
      <w:r w:rsidRPr="002F4565">
        <w:rPr>
          <w:lang w:val="pt-BR"/>
        </w:rPr>
        <w:t>.</w:t>
      </w:r>
    </w:p>
    <w:p w:rsidR="00115B91" w:rsidRPr="002F4565" w:rsidRDefault="00115B91" w:rsidP="0051636A">
      <w:pPr>
        <w:spacing w:before="120" w:after="0" w:line="240" w:lineRule="auto"/>
        <w:rPr>
          <w:lang w:val="pt-BR"/>
        </w:rPr>
      </w:pPr>
      <w:r w:rsidRPr="002F4565">
        <w:rPr>
          <w:lang w:val="pt-BR"/>
        </w:rPr>
        <w:t>54. D</w:t>
      </w:r>
      <w:r w:rsidR="000D1B60" w:rsidRPr="002F4565">
        <w:rPr>
          <w:lang w:val="pt-BR"/>
        </w:rPr>
        <w:t xml:space="preserve">evido à maior </w:t>
      </w:r>
      <w:r w:rsidRPr="002F4565">
        <w:rPr>
          <w:lang w:val="pt-BR"/>
        </w:rPr>
        <w:t>preval</w:t>
      </w:r>
      <w:r w:rsidR="007E67D2" w:rsidRPr="002F4565">
        <w:rPr>
          <w:lang w:val="pt-BR"/>
        </w:rPr>
        <w:t>ência</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DNT</w:t>
      </w:r>
      <w:r w:rsidRPr="002F4565">
        <w:rPr>
          <w:lang w:val="pt-BR"/>
        </w:rPr>
        <w:t xml:space="preserve">s </w:t>
      </w:r>
      <w:r w:rsidR="0049090C" w:rsidRPr="002F4565">
        <w:rPr>
          <w:lang w:val="pt-BR"/>
        </w:rPr>
        <w:t>e</w:t>
      </w:r>
      <w:r w:rsidRPr="002F4565">
        <w:rPr>
          <w:lang w:val="pt-BR"/>
        </w:rPr>
        <w:t xml:space="preserve"> </w:t>
      </w:r>
      <w:r w:rsidR="000D1B60" w:rsidRPr="002F4565">
        <w:rPr>
          <w:lang w:val="pt-BR"/>
        </w:rPr>
        <w:t xml:space="preserve">seu vínculo com as </w:t>
      </w:r>
      <w:r w:rsidR="003C09F9" w:rsidRPr="002F4565">
        <w:rPr>
          <w:lang w:val="pt-BR"/>
        </w:rPr>
        <w:t>práticas</w:t>
      </w:r>
      <w:r w:rsidRPr="002F4565">
        <w:rPr>
          <w:lang w:val="pt-BR"/>
        </w:rPr>
        <w:t xml:space="preserve"> </w:t>
      </w:r>
      <w:r w:rsidR="000D1B60" w:rsidRPr="002F4565">
        <w:rPr>
          <w:lang w:val="pt-BR"/>
        </w:rPr>
        <w:t>adotadas</w:t>
      </w:r>
      <w:r w:rsidRPr="002F4565">
        <w:rPr>
          <w:lang w:val="pt-BR"/>
        </w:rPr>
        <w:t xml:space="preserve"> </w:t>
      </w:r>
      <w:r w:rsidR="000D1B60" w:rsidRPr="002F4565">
        <w:rPr>
          <w:lang w:val="pt-BR"/>
        </w:rPr>
        <w:t xml:space="preserve">pela </w:t>
      </w:r>
      <w:r w:rsidR="00F21F55" w:rsidRPr="002F4565">
        <w:rPr>
          <w:lang w:val="pt-BR"/>
        </w:rPr>
        <w:t>indústria de alimentos</w:t>
      </w:r>
      <w:r w:rsidRPr="002F4565">
        <w:rPr>
          <w:lang w:val="pt-BR"/>
        </w:rPr>
        <w:t xml:space="preserve">, </w:t>
      </w:r>
      <w:r w:rsidR="000D1B60" w:rsidRPr="002F4565">
        <w:rPr>
          <w:lang w:val="pt-BR"/>
        </w:rPr>
        <w:t xml:space="preserve">o </w:t>
      </w:r>
      <w:r w:rsidR="006A31E1" w:rsidRPr="002F4565">
        <w:rPr>
          <w:lang w:val="pt-BR"/>
        </w:rPr>
        <w:t>acesso</w:t>
      </w:r>
      <w:r w:rsidRPr="002F4565">
        <w:rPr>
          <w:lang w:val="pt-BR"/>
        </w:rPr>
        <w:t xml:space="preserve"> </w:t>
      </w:r>
      <w:r w:rsidR="000D1B60" w:rsidRPr="002F4565">
        <w:rPr>
          <w:lang w:val="pt-BR"/>
        </w:rPr>
        <w:t xml:space="preserve">a </w:t>
      </w:r>
      <w:r w:rsidR="005A25F5" w:rsidRPr="002F4565">
        <w:rPr>
          <w:lang w:val="pt-BR"/>
        </w:rPr>
        <w:t>recursos</w:t>
      </w:r>
      <w:r w:rsidRPr="002F4565">
        <w:rPr>
          <w:lang w:val="pt-BR"/>
        </w:rPr>
        <w:t xml:space="preserve"> </w:t>
      </w:r>
      <w:r w:rsidR="00A2434B" w:rsidRPr="002F4565">
        <w:rPr>
          <w:lang w:val="pt-BR"/>
        </w:rPr>
        <w:t xml:space="preserve">judiciais </w:t>
      </w:r>
      <w:r w:rsidR="005A25F5" w:rsidRPr="002F4565">
        <w:rPr>
          <w:lang w:val="pt-BR"/>
        </w:rPr>
        <w:t>é</w:t>
      </w:r>
      <w:r w:rsidRPr="002F4565">
        <w:rPr>
          <w:lang w:val="pt-BR"/>
        </w:rPr>
        <w:t xml:space="preserve"> nece</w:t>
      </w:r>
      <w:r w:rsidR="00C47496" w:rsidRPr="002F4565">
        <w:rPr>
          <w:lang w:val="pt-BR"/>
        </w:rPr>
        <w:t>ssário</w:t>
      </w:r>
      <w:r w:rsidRPr="002F4565">
        <w:rPr>
          <w:lang w:val="pt-BR"/>
        </w:rPr>
        <w:t xml:space="preserve">. </w:t>
      </w:r>
      <w:r w:rsidR="000D1B60" w:rsidRPr="002F4565">
        <w:rPr>
          <w:lang w:val="pt-BR"/>
        </w:rPr>
        <w:t xml:space="preserve">Os </w:t>
      </w:r>
      <w:r w:rsidR="005A25F5" w:rsidRPr="002F4565">
        <w:rPr>
          <w:lang w:val="pt-BR"/>
        </w:rPr>
        <w:t>recursos</w:t>
      </w:r>
      <w:r w:rsidRPr="002F4565">
        <w:rPr>
          <w:lang w:val="pt-BR"/>
        </w:rPr>
        <w:t xml:space="preserve"> </w:t>
      </w:r>
      <w:r w:rsidR="000D1B60" w:rsidRPr="002F4565">
        <w:rPr>
          <w:lang w:val="pt-BR"/>
        </w:rPr>
        <w:t xml:space="preserve">judiciais para responsabilizar as </w:t>
      </w:r>
      <w:r w:rsidRPr="002F4565">
        <w:rPr>
          <w:lang w:val="pt-BR"/>
        </w:rPr>
        <w:t xml:space="preserve">TNCs </w:t>
      </w:r>
      <w:r w:rsidR="000D1B60" w:rsidRPr="002F4565">
        <w:rPr>
          <w:lang w:val="pt-BR"/>
        </w:rPr>
        <w:t xml:space="preserve">por </w:t>
      </w:r>
      <w:r w:rsidRPr="002F4565">
        <w:rPr>
          <w:lang w:val="pt-BR"/>
        </w:rPr>
        <w:t>viol</w:t>
      </w:r>
      <w:r w:rsidR="00F21F55" w:rsidRPr="002F4565">
        <w:rPr>
          <w:lang w:val="pt-BR"/>
        </w:rPr>
        <w:t>ações</w:t>
      </w:r>
      <w:r w:rsidRPr="002F4565">
        <w:rPr>
          <w:lang w:val="pt-BR"/>
        </w:rPr>
        <w:t xml:space="preserve"> </w:t>
      </w:r>
      <w:r w:rsidR="000D1B60" w:rsidRPr="002F4565">
        <w:rPr>
          <w:lang w:val="pt-BR"/>
        </w:rPr>
        <w:t xml:space="preserve">ao </w:t>
      </w:r>
      <w:r w:rsidR="00F21F55" w:rsidRPr="002F4565">
        <w:rPr>
          <w:lang w:val="pt-BR"/>
        </w:rPr>
        <w:t>direito à saúde</w:t>
      </w:r>
      <w:r w:rsidRPr="002F4565">
        <w:rPr>
          <w:lang w:val="pt-BR"/>
        </w:rPr>
        <w:t xml:space="preserve"> </w:t>
      </w:r>
      <w:r w:rsidR="0040430A" w:rsidRPr="002F4565">
        <w:rPr>
          <w:lang w:val="pt-BR"/>
        </w:rPr>
        <w:t>são</w:t>
      </w:r>
      <w:r w:rsidRPr="002F4565">
        <w:rPr>
          <w:lang w:val="pt-BR"/>
        </w:rPr>
        <w:t xml:space="preserve"> parti</w:t>
      </w:r>
      <w:r w:rsidR="00FB4DE4" w:rsidRPr="002F4565">
        <w:rPr>
          <w:lang w:val="pt-BR"/>
        </w:rPr>
        <w:t>cularmente</w:t>
      </w:r>
      <w:r w:rsidRPr="002F4565">
        <w:rPr>
          <w:lang w:val="pt-BR"/>
        </w:rPr>
        <w:t xml:space="preserve"> </w:t>
      </w:r>
      <w:r w:rsidR="000D1B60" w:rsidRPr="002F4565">
        <w:rPr>
          <w:lang w:val="pt-BR"/>
        </w:rPr>
        <w:t>difíceis de atingir</w:t>
      </w:r>
      <w:r w:rsidRPr="002F4565">
        <w:rPr>
          <w:lang w:val="pt-BR"/>
        </w:rPr>
        <w:t xml:space="preserve">. </w:t>
      </w:r>
      <w:r w:rsidR="00A2434B" w:rsidRPr="002F4565">
        <w:rPr>
          <w:lang w:val="pt-BR"/>
        </w:rPr>
        <w:t>T</w:t>
      </w:r>
      <w:r w:rsidR="000D1B60" w:rsidRPr="002F4565">
        <w:rPr>
          <w:lang w:val="pt-BR"/>
        </w:rPr>
        <w:t>ratados de i</w:t>
      </w:r>
      <w:r w:rsidR="00182B8E" w:rsidRPr="002F4565">
        <w:rPr>
          <w:lang w:val="pt-BR"/>
        </w:rPr>
        <w:t>nvestimento</w:t>
      </w:r>
      <w:r w:rsidR="000D1B60" w:rsidRPr="002F4565">
        <w:rPr>
          <w:lang w:val="pt-BR"/>
        </w:rPr>
        <w:t>s</w:t>
      </w:r>
      <w:r w:rsidRPr="002F4565">
        <w:rPr>
          <w:lang w:val="pt-BR"/>
        </w:rPr>
        <w:t xml:space="preserve"> </w:t>
      </w:r>
      <w:r w:rsidR="000D1B60" w:rsidRPr="002F4565">
        <w:rPr>
          <w:lang w:val="pt-BR"/>
        </w:rPr>
        <w:t xml:space="preserve">como os </w:t>
      </w:r>
      <w:r w:rsidR="00A2434B" w:rsidRPr="002F4565">
        <w:rPr>
          <w:lang w:val="pt-BR"/>
        </w:rPr>
        <w:t xml:space="preserve">acordos </w:t>
      </w:r>
      <w:r w:rsidR="000D1B60" w:rsidRPr="002F4565">
        <w:rPr>
          <w:lang w:val="pt-BR"/>
        </w:rPr>
        <w:t xml:space="preserve">de investimentos bilaterais </w:t>
      </w:r>
      <w:r w:rsidR="0049090C" w:rsidRPr="002F4565">
        <w:rPr>
          <w:lang w:val="pt-BR"/>
        </w:rPr>
        <w:t>e</w:t>
      </w:r>
      <w:r w:rsidRPr="002F4565">
        <w:rPr>
          <w:lang w:val="pt-BR"/>
        </w:rPr>
        <w:t xml:space="preserve"> </w:t>
      </w:r>
      <w:r w:rsidR="000D1B60" w:rsidRPr="002F4565">
        <w:rPr>
          <w:lang w:val="pt-BR"/>
        </w:rPr>
        <w:t>acordos de livre comércio</w:t>
      </w:r>
      <w:r w:rsidRPr="002F4565">
        <w:rPr>
          <w:lang w:val="pt-BR"/>
        </w:rPr>
        <w:t xml:space="preserve">, </w:t>
      </w:r>
      <w:r w:rsidR="000D1B60" w:rsidRPr="002F4565">
        <w:rPr>
          <w:lang w:val="pt-BR"/>
        </w:rPr>
        <w:t xml:space="preserve">que facilitam a entrada e fortalecimento </w:t>
      </w:r>
      <w:r w:rsidR="0049090C" w:rsidRPr="002F4565">
        <w:rPr>
          <w:lang w:val="pt-BR"/>
        </w:rPr>
        <w:t>d</w:t>
      </w:r>
      <w:r w:rsidR="000D1B60" w:rsidRPr="002F4565">
        <w:rPr>
          <w:lang w:val="pt-BR"/>
        </w:rPr>
        <w:t>as</w:t>
      </w:r>
      <w:r w:rsidRPr="002F4565">
        <w:rPr>
          <w:lang w:val="pt-BR"/>
        </w:rPr>
        <w:t xml:space="preserve"> TNCs </w:t>
      </w:r>
      <w:r w:rsidR="000D1B60" w:rsidRPr="002F4565">
        <w:rPr>
          <w:lang w:val="pt-BR"/>
        </w:rPr>
        <w:t>nas economias nacionais</w:t>
      </w:r>
      <w:r w:rsidRPr="002F4565">
        <w:rPr>
          <w:lang w:val="pt-BR"/>
        </w:rPr>
        <w:t xml:space="preserve">, </w:t>
      </w:r>
      <w:r w:rsidR="000D1B60" w:rsidRPr="002F4565">
        <w:rPr>
          <w:lang w:val="pt-BR"/>
        </w:rPr>
        <w:t xml:space="preserve">contêm </w:t>
      </w:r>
      <w:r w:rsidR="00F21F55" w:rsidRPr="002F4565">
        <w:rPr>
          <w:lang w:val="pt-BR"/>
        </w:rPr>
        <w:t>mecanismo</w:t>
      </w:r>
      <w:r w:rsidRPr="002F4565">
        <w:rPr>
          <w:lang w:val="pt-BR"/>
        </w:rPr>
        <w:t xml:space="preserve">s </w:t>
      </w:r>
      <w:r w:rsidR="000D1B60" w:rsidRPr="002F4565">
        <w:rPr>
          <w:lang w:val="pt-BR"/>
        </w:rPr>
        <w:t xml:space="preserve">de acordo para disputas internacionais </w:t>
      </w:r>
      <w:r w:rsidR="006A31E1" w:rsidRPr="002F4565">
        <w:rPr>
          <w:lang w:val="pt-BR"/>
        </w:rPr>
        <w:t>que</w:t>
      </w:r>
      <w:r w:rsidRPr="002F4565">
        <w:rPr>
          <w:lang w:val="pt-BR"/>
        </w:rPr>
        <w:t xml:space="preserve"> </w:t>
      </w:r>
      <w:r w:rsidR="000D1B60" w:rsidRPr="002F4565">
        <w:rPr>
          <w:lang w:val="pt-BR"/>
        </w:rPr>
        <w:t xml:space="preserve">permitem que as </w:t>
      </w:r>
      <w:r w:rsidR="00FB4DE4" w:rsidRPr="002F4565">
        <w:rPr>
          <w:lang w:val="pt-BR"/>
        </w:rPr>
        <w:t>companhias</w:t>
      </w:r>
      <w:r w:rsidRPr="002F4565">
        <w:rPr>
          <w:lang w:val="pt-BR"/>
        </w:rPr>
        <w:t xml:space="preserve"> </w:t>
      </w:r>
      <w:r w:rsidR="000D1B60" w:rsidRPr="002F4565">
        <w:rPr>
          <w:lang w:val="pt-BR"/>
        </w:rPr>
        <w:t xml:space="preserve">privadas impetrem </w:t>
      </w:r>
      <w:r w:rsidR="00A2434B" w:rsidRPr="002F4565">
        <w:rPr>
          <w:lang w:val="pt-BR"/>
        </w:rPr>
        <w:t xml:space="preserve">processos </w:t>
      </w:r>
      <w:r w:rsidR="000D1B60" w:rsidRPr="002F4565">
        <w:rPr>
          <w:lang w:val="pt-BR"/>
        </w:rPr>
        <w:t xml:space="preserve">contra os </w:t>
      </w:r>
      <w:r w:rsidR="004069A0" w:rsidRPr="002F4565">
        <w:rPr>
          <w:lang w:val="pt-BR"/>
        </w:rPr>
        <w:t>Estados</w:t>
      </w:r>
      <w:r w:rsidRPr="002F4565">
        <w:rPr>
          <w:lang w:val="pt-BR"/>
        </w:rPr>
        <w:t xml:space="preserve">. </w:t>
      </w:r>
      <w:r w:rsidR="00FB4DE4" w:rsidRPr="002F4565">
        <w:rPr>
          <w:lang w:val="pt-BR"/>
        </w:rPr>
        <w:t>No entanto</w:t>
      </w:r>
      <w:r w:rsidRPr="002F4565">
        <w:rPr>
          <w:lang w:val="pt-BR"/>
        </w:rPr>
        <w:t xml:space="preserve">, </w:t>
      </w:r>
      <w:r w:rsidR="0040430A" w:rsidRPr="002F4565">
        <w:rPr>
          <w:lang w:val="pt-BR"/>
        </w:rPr>
        <w:t>estes</w:t>
      </w:r>
      <w:r w:rsidRPr="002F4565">
        <w:rPr>
          <w:lang w:val="pt-BR"/>
        </w:rPr>
        <w:t xml:space="preserve"> </w:t>
      </w:r>
      <w:r w:rsidR="00E62864" w:rsidRPr="002F4565">
        <w:rPr>
          <w:lang w:val="pt-BR"/>
        </w:rPr>
        <w:t>tratados</w:t>
      </w:r>
      <w:r w:rsidRPr="002F4565">
        <w:rPr>
          <w:lang w:val="pt-BR"/>
        </w:rPr>
        <w:t xml:space="preserve"> </w:t>
      </w:r>
      <w:r w:rsidR="000D1B60" w:rsidRPr="002F4565">
        <w:rPr>
          <w:lang w:val="pt-BR"/>
        </w:rPr>
        <w:t xml:space="preserve">impõem </w:t>
      </w:r>
      <w:r w:rsidR="00F21F55" w:rsidRPr="002F4565">
        <w:rPr>
          <w:lang w:val="pt-BR"/>
        </w:rPr>
        <w:t>obrigações</w:t>
      </w:r>
      <w:r w:rsidRPr="002F4565">
        <w:rPr>
          <w:lang w:val="pt-BR"/>
        </w:rPr>
        <w:t xml:space="preserve"> </w:t>
      </w:r>
      <w:r w:rsidR="000D1B60" w:rsidRPr="002F4565">
        <w:rPr>
          <w:lang w:val="pt-BR"/>
        </w:rPr>
        <w:t xml:space="preserve">unilaterais sobre os </w:t>
      </w:r>
      <w:r w:rsidR="004069A0" w:rsidRPr="002F4565">
        <w:rPr>
          <w:lang w:val="pt-BR"/>
        </w:rPr>
        <w:t>Estados</w:t>
      </w:r>
      <w:r w:rsidR="000D1B60" w:rsidRPr="002F4565">
        <w:rPr>
          <w:lang w:val="pt-BR"/>
        </w:rPr>
        <w:t xml:space="preserve"> anfitriões</w:t>
      </w:r>
      <w:r w:rsidRPr="002F4565">
        <w:rPr>
          <w:lang w:val="pt-BR"/>
        </w:rPr>
        <w:t xml:space="preserve">, </w:t>
      </w:r>
      <w:r w:rsidR="000D1B60" w:rsidRPr="002F4565">
        <w:rPr>
          <w:lang w:val="pt-BR"/>
        </w:rPr>
        <w:t xml:space="preserve">de forma a dificultar a </w:t>
      </w:r>
      <w:r w:rsidR="00A2434B" w:rsidRPr="002F4565">
        <w:rPr>
          <w:lang w:val="pt-BR"/>
        </w:rPr>
        <w:t xml:space="preserve">inserção </w:t>
      </w:r>
      <w:r w:rsidR="000D1B60" w:rsidRPr="002F4565">
        <w:rPr>
          <w:lang w:val="pt-BR"/>
        </w:rPr>
        <w:t xml:space="preserve">das </w:t>
      </w:r>
      <w:r w:rsidRPr="002F4565">
        <w:rPr>
          <w:lang w:val="pt-BR"/>
        </w:rPr>
        <w:t xml:space="preserve">TNCs </w:t>
      </w:r>
      <w:r w:rsidR="000D1B60" w:rsidRPr="002F4565">
        <w:rPr>
          <w:lang w:val="pt-BR"/>
        </w:rPr>
        <w:t>em seu sistema jurídico nacional</w:t>
      </w:r>
      <w:r w:rsidRPr="002F4565">
        <w:rPr>
          <w:lang w:val="pt-BR"/>
        </w:rPr>
        <w:t xml:space="preserve">, </w:t>
      </w:r>
      <w:r w:rsidR="00F21F55" w:rsidRPr="002F4565">
        <w:rPr>
          <w:lang w:val="pt-BR"/>
        </w:rPr>
        <w:t>inclusive</w:t>
      </w:r>
      <w:r w:rsidRPr="002F4565">
        <w:rPr>
          <w:lang w:val="pt-BR"/>
        </w:rPr>
        <w:t xml:space="preserve"> </w:t>
      </w:r>
      <w:r w:rsidR="000D1B60" w:rsidRPr="002F4565">
        <w:rPr>
          <w:lang w:val="pt-BR"/>
        </w:rPr>
        <w:t>n</w:t>
      </w:r>
      <w:r w:rsidR="00261A8A" w:rsidRPr="002F4565">
        <w:rPr>
          <w:lang w:val="pt-BR"/>
        </w:rPr>
        <w:t>o</w:t>
      </w:r>
      <w:r w:rsidRPr="002F4565">
        <w:rPr>
          <w:lang w:val="pt-BR"/>
        </w:rPr>
        <w:t xml:space="preserve"> </w:t>
      </w:r>
      <w:r w:rsidR="00FB4401" w:rsidRPr="002F4565">
        <w:rPr>
          <w:lang w:val="pt-BR"/>
        </w:rPr>
        <w:t>sistema</w:t>
      </w:r>
      <w:r w:rsidR="000D1B60" w:rsidRPr="002F4565">
        <w:rPr>
          <w:lang w:val="pt-BR"/>
        </w:rPr>
        <w:t xml:space="preserve"> judicial</w:t>
      </w:r>
      <w:r w:rsidRPr="002F4565">
        <w:rPr>
          <w:lang w:val="pt-BR"/>
        </w:rPr>
        <w:t xml:space="preserve">. </w:t>
      </w:r>
      <w:r w:rsidR="00BF5705" w:rsidRPr="002F4565">
        <w:rPr>
          <w:lang w:val="pt-BR"/>
        </w:rPr>
        <w:t>Além disso</w:t>
      </w:r>
      <w:r w:rsidRPr="002F4565">
        <w:rPr>
          <w:lang w:val="pt-BR"/>
        </w:rPr>
        <w:t xml:space="preserve">, </w:t>
      </w:r>
      <w:r w:rsidR="000D1B60" w:rsidRPr="002F4565">
        <w:rPr>
          <w:lang w:val="pt-BR"/>
        </w:rPr>
        <w:t xml:space="preserve">os princípios </w:t>
      </w:r>
      <w:r w:rsidR="0049090C" w:rsidRPr="002F4565">
        <w:rPr>
          <w:lang w:val="pt-BR"/>
        </w:rPr>
        <w:t>de</w:t>
      </w:r>
      <w:r w:rsidRPr="002F4565">
        <w:rPr>
          <w:lang w:val="pt-BR"/>
        </w:rPr>
        <w:t xml:space="preserve"> </w:t>
      </w:r>
      <w:r w:rsidR="000D1B60" w:rsidRPr="002F4565">
        <w:rPr>
          <w:lang w:val="pt-BR"/>
        </w:rPr>
        <w:t xml:space="preserve">responsabilidade limitada </w:t>
      </w:r>
      <w:r w:rsidR="0049090C" w:rsidRPr="002F4565">
        <w:rPr>
          <w:lang w:val="pt-BR"/>
        </w:rPr>
        <w:t>e</w:t>
      </w:r>
      <w:r w:rsidRPr="002F4565">
        <w:rPr>
          <w:lang w:val="pt-BR"/>
        </w:rPr>
        <w:t xml:space="preserve"> </w:t>
      </w:r>
      <w:r w:rsidR="000D1B60" w:rsidRPr="002F4565">
        <w:rPr>
          <w:lang w:val="pt-BR"/>
        </w:rPr>
        <w:t xml:space="preserve">personalidades jurídicas separadas em geral são a base das controladoras para isentarem de qualquer responsabilidade suas </w:t>
      </w:r>
      <w:r w:rsidRPr="002F4565">
        <w:rPr>
          <w:lang w:val="pt-BR"/>
        </w:rPr>
        <w:t>subsidi</w:t>
      </w:r>
      <w:r w:rsidR="000D1B60" w:rsidRPr="002F4565">
        <w:rPr>
          <w:lang w:val="pt-BR"/>
        </w:rPr>
        <w:t xml:space="preserve">árias que atuam em várias </w:t>
      </w:r>
      <w:proofErr w:type="gramStart"/>
      <w:r w:rsidR="000D1B60" w:rsidRPr="002F4565">
        <w:rPr>
          <w:lang w:val="pt-BR"/>
        </w:rPr>
        <w:t>jurisdições</w:t>
      </w:r>
      <w:r w:rsidRPr="002F4565">
        <w:rPr>
          <w:lang w:val="pt-BR"/>
        </w:rPr>
        <w:t>.</w:t>
      </w:r>
      <w:proofErr w:type="gramEnd"/>
      <w:r w:rsidRPr="002F4565">
        <w:rPr>
          <w:vertAlign w:val="superscript"/>
          <w:lang w:val="pt-BR"/>
        </w:rPr>
        <w:t>79</w:t>
      </w:r>
      <w:r w:rsidRPr="002F4565">
        <w:rPr>
          <w:lang w:val="pt-BR"/>
        </w:rPr>
        <w:t xml:space="preserve"> </w:t>
      </w:r>
      <w:r w:rsidR="000D1B60" w:rsidRPr="002F4565">
        <w:rPr>
          <w:lang w:val="pt-BR"/>
        </w:rPr>
        <w:t xml:space="preserve">Mesmo quando existem </w:t>
      </w:r>
      <w:r w:rsidR="005A25F5" w:rsidRPr="002F4565">
        <w:rPr>
          <w:lang w:val="pt-BR"/>
        </w:rPr>
        <w:t>recursos</w:t>
      </w:r>
      <w:r w:rsidRPr="002F4565">
        <w:rPr>
          <w:lang w:val="pt-BR"/>
        </w:rPr>
        <w:t xml:space="preserve"> </w:t>
      </w:r>
      <w:r w:rsidR="00A2434B" w:rsidRPr="002F4565">
        <w:rPr>
          <w:lang w:val="pt-BR"/>
        </w:rPr>
        <w:t xml:space="preserve">jurídicos </w:t>
      </w:r>
      <w:r w:rsidR="000D1B60" w:rsidRPr="002F4565">
        <w:rPr>
          <w:lang w:val="pt-BR"/>
        </w:rPr>
        <w:t xml:space="preserve">contra as </w:t>
      </w:r>
      <w:r w:rsidR="00FB4DE4" w:rsidRPr="002F4565">
        <w:rPr>
          <w:lang w:val="pt-BR"/>
        </w:rPr>
        <w:t>companhias</w:t>
      </w:r>
      <w:r w:rsidRPr="002F4565">
        <w:rPr>
          <w:lang w:val="pt-BR"/>
        </w:rPr>
        <w:t xml:space="preserve"> </w:t>
      </w:r>
      <w:r w:rsidR="000D1B60" w:rsidRPr="002F4565">
        <w:rPr>
          <w:lang w:val="pt-BR"/>
        </w:rPr>
        <w:t>nacionais</w:t>
      </w:r>
      <w:r w:rsidRPr="002F4565">
        <w:rPr>
          <w:lang w:val="pt-BR"/>
        </w:rPr>
        <w:t xml:space="preserve">, </w:t>
      </w:r>
      <w:r w:rsidR="000D1B60" w:rsidRPr="002F4565">
        <w:rPr>
          <w:lang w:val="pt-BR"/>
        </w:rPr>
        <w:t xml:space="preserve">sua exigibilidade muitas vezes é ausente ou </w:t>
      </w:r>
      <w:r w:rsidR="00A2434B" w:rsidRPr="002F4565">
        <w:rPr>
          <w:lang w:val="pt-BR"/>
        </w:rPr>
        <w:t>fraca</w:t>
      </w:r>
      <w:r w:rsidRPr="002F4565">
        <w:rPr>
          <w:lang w:val="pt-BR"/>
        </w:rPr>
        <w:t xml:space="preserve"> </w:t>
      </w:r>
      <w:r w:rsidR="0049090C" w:rsidRPr="002F4565">
        <w:rPr>
          <w:lang w:val="pt-BR"/>
        </w:rPr>
        <w:t>e</w:t>
      </w:r>
      <w:r w:rsidRPr="002F4565">
        <w:rPr>
          <w:lang w:val="pt-BR"/>
        </w:rPr>
        <w:t xml:space="preserve"> </w:t>
      </w:r>
      <w:r w:rsidR="000D1B60" w:rsidRPr="002F4565">
        <w:rPr>
          <w:lang w:val="pt-BR"/>
        </w:rPr>
        <w:t xml:space="preserve">as </w:t>
      </w:r>
      <w:r w:rsidR="00FB4DE4" w:rsidRPr="002F4565">
        <w:rPr>
          <w:lang w:val="pt-BR"/>
        </w:rPr>
        <w:t>companhias</w:t>
      </w:r>
      <w:r w:rsidRPr="002F4565">
        <w:rPr>
          <w:lang w:val="pt-BR"/>
        </w:rPr>
        <w:t xml:space="preserve"> </w:t>
      </w:r>
      <w:r w:rsidR="0040430A" w:rsidRPr="002F4565">
        <w:rPr>
          <w:lang w:val="pt-BR"/>
        </w:rPr>
        <w:t>são</w:t>
      </w:r>
      <w:r w:rsidRPr="002F4565">
        <w:rPr>
          <w:lang w:val="pt-BR"/>
        </w:rPr>
        <w:t xml:space="preserve"> </w:t>
      </w:r>
      <w:r w:rsidR="005A25F5" w:rsidRPr="002F4565">
        <w:rPr>
          <w:lang w:val="pt-BR"/>
        </w:rPr>
        <w:t>não</w:t>
      </w:r>
      <w:r w:rsidRPr="002F4565">
        <w:rPr>
          <w:lang w:val="pt-BR"/>
        </w:rPr>
        <w:t xml:space="preserve"> </w:t>
      </w:r>
      <w:r w:rsidR="007245D6" w:rsidRPr="002F4565">
        <w:rPr>
          <w:lang w:val="pt-BR"/>
        </w:rPr>
        <w:t xml:space="preserve">sofrem </w:t>
      </w:r>
      <w:r w:rsidRPr="002F4565">
        <w:rPr>
          <w:lang w:val="pt-BR"/>
        </w:rPr>
        <w:t>penali</w:t>
      </w:r>
      <w:r w:rsidR="007245D6" w:rsidRPr="002F4565">
        <w:rPr>
          <w:lang w:val="pt-BR"/>
        </w:rPr>
        <w:t xml:space="preserve">dades </w:t>
      </w:r>
      <w:r w:rsidR="00214AEE" w:rsidRPr="002F4565">
        <w:rPr>
          <w:lang w:val="pt-BR"/>
        </w:rPr>
        <w:t xml:space="preserve">por </w:t>
      </w:r>
      <w:r w:rsidR="007245D6" w:rsidRPr="002F4565">
        <w:rPr>
          <w:lang w:val="pt-BR"/>
        </w:rPr>
        <w:t>des</w:t>
      </w:r>
      <w:r w:rsidR="00214AEE" w:rsidRPr="002F4565">
        <w:rPr>
          <w:lang w:val="pt-BR"/>
        </w:rPr>
        <w:t>cumprimento</w:t>
      </w:r>
      <w:r w:rsidRPr="002F4565">
        <w:rPr>
          <w:lang w:val="pt-BR"/>
        </w:rPr>
        <w:t xml:space="preserve">. </w:t>
      </w:r>
      <w:r w:rsidR="00214AEE" w:rsidRPr="002F4565">
        <w:rPr>
          <w:lang w:val="pt-BR"/>
        </w:rPr>
        <w:t>Os c</w:t>
      </w:r>
      <w:r w:rsidR="002E1AA7" w:rsidRPr="002F4565">
        <w:rPr>
          <w:lang w:val="pt-BR"/>
        </w:rPr>
        <w:t>onsumidores</w:t>
      </w:r>
      <w:r w:rsidRPr="002F4565">
        <w:rPr>
          <w:lang w:val="pt-BR"/>
        </w:rPr>
        <w:t xml:space="preserve"> </w:t>
      </w:r>
      <w:r w:rsidR="002E1AA7" w:rsidRPr="002F4565">
        <w:rPr>
          <w:lang w:val="pt-BR"/>
        </w:rPr>
        <w:t xml:space="preserve">devem </w:t>
      </w:r>
      <w:r w:rsidR="00214AEE" w:rsidRPr="002F4565">
        <w:rPr>
          <w:lang w:val="pt-BR"/>
        </w:rPr>
        <w:t xml:space="preserve">ter capacidade de </w:t>
      </w:r>
      <w:r w:rsidR="007245D6" w:rsidRPr="002F4565">
        <w:rPr>
          <w:lang w:val="pt-BR"/>
        </w:rPr>
        <w:t xml:space="preserve">buscar </w:t>
      </w:r>
      <w:r w:rsidR="005A25F5" w:rsidRPr="002F4565">
        <w:rPr>
          <w:lang w:val="pt-BR"/>
        </w:rPr>
        <w:t>recursos</w:t>
      </w:r>
      <w:r w:rsidRPr="002F4565">
        <w:rPr>
          <w:lang w:val="pt-BR"/>
        </w:rPr>
        <w:t xml:space="preserve"> </w:t>
      </w:r>
      <w:r w:rsidR="007245D6" w:rsidRPr="002F4565">
        <w:rPr>
          <w:lang w:val="pt-BR"/>
        </w:rPr>
        <w:t xml:space="preserve">jurídicos </w:t>
      </w:r>
      <w:r w:rsidR="00214AEE" w:rsidRPr="002F4565">
        <w:rPr>
          <w:lang w:val="pt-BR"/>
        </w:rPr>
        <w:t xml:space="preserve">contra os </w:t>
      </w:r>
      <w:r w:rsidR="003C09F9" w:rsidRPr="002F4565">
        <w:rPr>
          <w:lang w:val="pt-BR"/>
        </w:rPr>
        <w:t>fabricantes de alimentos</w:t>
      </w:r>
      <w:r w:rsidRPr="002F4565">
        <w:rPr>
          <w:lang w:val="pt-BR"/>
        </w:rPr>
        <w:t xml:space="preserve">, </w:t>
      </w:r>
      <w:r w:rsidR="00214AEE" w:rsidRPr="002F4565">
        <w:rPr>
          <w:lang w:val="pt-BR"/>
        </w:rPr>
        <w:t xml:space="preserve">não importando o </w:t>
      </w:r>
      <w:r w:rsidR="007D3BE3" w:rsidRPr="002F4565">
        <w:rPr>
          <w:lang w:val="pt-BR"/>
        </w:rPr>
        <w:t>país</w:t>
      </w:r>
      <w:r w:rsidRPr="002F4565">
        <w:rPr>
          <w:lang w:val="pt-BR"/>
        </w:rPr>
        <w:t xml:space="preserve"> </w:t>
      </w:r>
      <w:r w:rsidR="0049090C" w:rsidRPr="002F4565">
        <w:rPr>
          <w:lang w:val="pt-BR"/>
        </w:rPr>
        <w:t>de</w:t>
      </w:r>
      <w:r w:rsidRPr="002F4565">
        <w:rPr>
          <w:lang w:val="pt-BR"/>
        </w:rPr>
        <w:t xml:space="preserve"> orig</w:t>
      </w:r>
      <w:r w:rsidR="00214AEE" w:rsidRPr="002F4565">
        <w:rPr>
          <w:lang w:val="pt-BR"/>
        </w:rPr>
        <w:t>em</w:t>
      </w:r>
      <w:r w:rsidRPr="002F4565">
        <w:rPr>
          <w:lang w:val="pt-BR"/>
        </w:rPr>
        <w:t xml:space="preserve"> </w:t>
      </w:r>
      <w:r w:rsidR="0049090C" w:rsidRPr="002F4565">
        <w:rPr>
          <w:lang w:val="pt-BR"/>
        </w:rPr>
        <w:t>d</w:t>
      </w:r>
      <w:r w:rsidR="00214AEE" w:rsidRPr="002F4565">
        <w:rPr>
          <w:lang w:val="pt-BR"/>
        </w:rPr>
        <w:t>a controladora</w:t>
      </w:r>
      <w:r w:rsidRPr="002F4565">
        <w:rPr>
          <w:lang w:val="pt-BR"/>
        </w:rPr>
        <w:t xml:space="preserve">. </w:t>
      </w:r>
      <w:r w:rsidR="004069A0" w:rsidRPr="002F4565">
        <w:rPr>
          <w:lang w:val="pt-BR"/>
        </w:rPr>
        <w:t>Os Estados</w:t>
      </w:r>
      <w:r w:rsidRPr="002F4565">
        <w:rPr>
          <w:lang w:val="pt-BR"/>
        </w:rPr>
        <w:t xml:space="preserve"> </w:t>
      </w:r>
      <w:r w:rsidR="002E1AA7" w:rsidRPr="002F4565">
        <w:rPr>
          <w:lang w:val="pt-BR"/>
        </w:rPr>
        <w:t>devem</w:t>
      </w:r>
      <w:r w:rsidR="00214AEE" w:rsidRPr="002F4565">
        <w:rPr>
          <w:lang w:val="pt-BR"/>
        </w:rPr>
        <w:t>,</w:t>
      </w:r>
      <w:r w:rsidRPr="002F4565">
        <w:rPr>
          <w:lang w:val="pt-BR"/>
        </w:rPr>
        <w:t xml:space="preserve"> </w:t>
      </w:r>
      <w:r w:rsidR="00FB4401" w:rsidRPr="002F4565">
        <w:rPr>
          <w:lang w:val="pt-BR"/>
        </w:rPr>
        <w:t>portanto</w:t>
      </w:r>
      <w:r w:rsidR="00214AEE" w:rsidRPr="002F4565">
        <w:rPr>
          <w:lang w:val="pt-BR"/>
        </w:rPr>
        <w:t>,</w:t>
      </w:r>
      <w:r w:rsidRPr="002F4565">
        <w:rPr>
          <w:lang w:val="pt-BR"/>
        </w:rPr>
        <w:t xml:space="preserve"> </w:t>
      </w:r>
      <w:r w:rsidR="00214AEE" w:rsidRPr="002F4565">
        <w:rPr>
          <w:lang w:val="pt-BR"/>
        </w:rPr>
        <w:t>esclarecer, segundo a legislação nacional, a responsabilidade da controladora e das subsidiárias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55. </w:t>
      </w:r>
      <w:r w:rsidR="007245D6" w:rsidRPr="002F4565">
        <w:rPr>
          <w:lang w:val="pt-BR"/>
        </w:rPr>
        <w:t>R</w:t>
      </w:r>
      <w:r w:rsidR="005A25F5" w:rsidRPr="002F4565">
        <w:rPr>
          <w:lang w:val="pt-BR"/>
        </w:rPr>
        <w:t>ecursos</w:t>
      </w:r>
      <w:r w:rsidRPr="002F4565">
        <w:rPr>
          <w:lang w:val="pt-BR"/>
        </w:rPr>
        <w:t xml:space="preserve"> </w:t>
      </w:r>
      <w:r w:rsidR="00BA446D" w:rsidRPr="002F4565">
        <w:rPr>
          <w:lang w:val="pt-BR"/>
        </w:rPr>
        <w:t xml:space="preserve">jurídicos </w:t>
      </w:r>
      <w:r w:rsidR="00214AEE" w:rsidRPr="002F4565">
        <w:rPr>
          <w:lang w:val="pt-BR"/>
        </w:rPr>
        <w:t xml:space="preserve">para </w:t>
      </w:r>
      <w:r w:rsidRPr="002F4565">
        <w:rPr>
          <w:lang w:val="pt-BR"/>
        </w:rPr>
        <w:t>viol</w:t>
      </w:r>
      <w:r w:rsidR="00F21F55" w:rsidRPr="002F4565">
        <w:rPr>
          <w:lang w:val="pt-BR"/>
        </w:rPr>
        <w:t>ações</w:t>
      </w:r>
      <w:r w:rsidRPr="002F4565">
        <w:rPr>
          <w:lang w:val="pt-BR"/>
        </w:rPr>
        <w:t xml:space="preserve"> </w:t>
      </w:r>
      <w:r w:rsidR="0049090C" w:rsidRPr="002F4565">
        <w:rPr>
          <w:lang w:val="pt-BR"/>
        </w:rPr>
        <w:t>d</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2E1AA7" w:rsidRPr="002F4565">
        <w:rPr>
          <w:lang w:val="pt-BR"/>
        </w:rPr>
        <w:t xml:space="preserve">devem </w:t>
      </w:r>
      <w:r w:rsidR="00214AEE" w:rsidRPr="002F4565">
        <w:rPr>
          <w:lang w:val="pt-BR"/>
        </w:rPr>
        <w:t xml:space="preserve">ser disponibilizados pelos </w:t>
      </w:r>
      <w:r w:rsidR="004069A0" w:rsidRPr="002F4565">
        <w:rPr>
          <w:lang w:val="pt-BR"/>
        </w:rPr>
        <w:t>Estados</w:t>
      </w:r>
      <w:r w:rsidRPr="002F4565">
        <w:rPr>
          <w:lang w:val="pt-BR"/>
        </w:rPr>
        <w:t xml:space="preserve"> </w:t>
      </w:r>
      <w:r w:rsidR="00214AEE" w:rsidRPr="002F4565">
        <w:rPr>
          <w:lang w:val="pt-BR"/>
        </w:rPr>
        <w:t>também</w:t>
      </w:r>
      <w:r w:rsidRPr="002F4565">
        <w:rPr>
          <w:lang w:val="pt-BR"/>
        </w:rPr>
        <w:t xml:space="preserve">. </w:t>
      </w:r>
      <w:r w:rsidR="00214AEE" w:rsidRPr="002F4565">
        <w:rPr>
          <w:lang w:val="pt-BR"/>
        </w:rPr>
        <w:t xml:space="preserve">Nos casos em que os </w:t>
      </w:r>
      <w:r w:rsidR="004069A0" w:rsidRPr="002F4565">
        <w:rPr>
          <w:lang w:val="pt-BR"/>
        </w:rPr>
        <w:t>Estados</w:t>
      </w:r>
      <w:r w:rsidRPr="002F4565">
        <w:rPr>
          <w:lang w:val="pt-BR"/>
        </w:rPr>
        <w:t xml:space="preserve"> </w:t>
      </w:r>
      <w:r w:rsidR="00214AEE" w:rsidRPr="002F4565">
        <w:rPr>
          <w:lang w:val="pt-BR"/>
        </w:rPr>
        <w:t xml:space="preserve">não consagram a </w:t>
      </w:r>
      <w:r w:rsidR="006A31E1" w:rsidRPr="002F4565">
        <w:rPr>
          <w:lang w:val="pt-BR"/>
        </w:rPr>
        <w:t>obrigação</w:t>
      </w:r>
      <w:r w:rsidRPr="002F4565">
        <w:rPr>
          <w:lang w:val="pt-BR"/>
        </w:rPr>
        <w:t xml:space="preserve"> </w:t>
      </w:r>
      <w:r w:rsidR="00214AEE" w:rsidRPr="002F4565">
        <w:rPr>
          <w:lang w:val="pt-BR"/>
        </w:rPr>
        <w:t xml:space="preserve">do direito à saúde no </w:t>
      </w:r>
      <w:r w:rsidR="00FB4401" w:rsidRPr="002F4565">
        <w:rPr>
          <w:lang w:val="pt-BR"/>
        </w:rPr>
        <w:t>sistema</w:t>
      </w:r>
      <w:r w:rsidR="00214AEE" w:rsidRPr="002F4565">
        <w:rPr>
          <w:lang w:val="pt-BR"/>
        </w:rPr>
        <w:t xml:space="preserve"> jurídico doméstico</w:t>
      </w:r>
      <w:r w:rsidRPr="002F4565">
        <w:rPr>
          <w:lang w:val="pt-BR"/>
        </w:rPr>
        <w:t xml:space="preserve">, </w:t>
      </w:r>
      <w:r w:rsidR="002E1AA7" w:rsidRPr="002F4565">
        <w:rPr>
          <w:lang w:val="pt-BR"/>
        </w:rPr>
        <w:t>devem</w:t>
      </w:r>
      <w:r w:rsidRPr="002F4565">
        <w:rPr>
          <w:lang w:val="pt-BR"/>
        </w:rPr>
        <w:t xml:space="preserve"> exist</w:t>
      </w:r>
      <w:r w:rsidR="00214AEE" w:rsidRPr="002F4565">
        <w:rPr>
          <w:lang w:val="pt-BR"/>
        </w:rPr>
        <w:t>ir</w:t>
      </w:r>
      <w:r w:rsidRPr="002F4565">
        <w:rPr>
          <w:lang w:val="pt-BR"/>
        </w:rPr>
        <w:t xml:space="preserve"> </w:t>
      </w:r>
      <w:r w:rsidR="00214AEE" w:rsidRPr="002F4565">
        <w:rPr>
          <w:lang w:val="pt-BR"/>
        </w:rPr>
        <w:t>mecanismos adjudicatórios para as pessoas entrar</w:t>
      </w:r>
      <w:r w:rsidR="007245D6" w:rsidRPr="002F4565">
        <w:rPr>
          <w:lang w:val="pt-BR"/>
        </w:rPr>
        <w:t>em</w:t>
      </w:r>
      <w:r w:rsidR="00214AEE" w:rsidRPr="002F4565">
        <w:rPr>
          <w:lang w:val="pt-BR"/>
        </w:rPr>
        <w:t xml:space="preserve"> com </w:t>
      </w:r>
      <w:r w:rsidR="005A25F5" w:rsidRPr="002F4565">
        <w:rPr>
          <w:lang w:val="pt-BR"/>
        </w:rPr>
        <w:t>recursos</w:t>
      </w:r>
      <w:r w:rsidRPr="002F4565">
        <w:rPr>
          <w:lang w:val="pt-BR"/>
        </w:rPr>
        <w:t xml:space="preserve"> </w:t>
      </w:r>
      <w:r w:rsidR="00214AEE" w:rsidRPr="002F4565">
        <w:rPr>
          <w:lang w:val="pt-BR"/>
        </w:rPr>
        <w:t xml:space="preserve">contra o </w:t>
      </w:r>
      <w:r w:rsidR="006A31E1" w:rsidRPr="002F4565">
        <w:rPr>
          <w:lang w:val="pt-BR"/>
        </w:rPr>
        <w:t>Estado</w:t>
      </w:r>
      <w:r w:rsidRPr="002F4565">
        <w:rPr>
          <w:lang w:val="pt-BR"/>
        </w:rPr>
        <w:t xml:space="preserve"> </w:t>
      </w:r>
      <w:r w:rsidR="0049090C" w:rsidRPr="002F4565">
        <w:rPr>
          <w:lang w:val="pt-BR"/>
        </w:rPr>
        <w:t>e</w:t>
      </w:r>
      <w:r w:rsidRPr="002F4565">
        <w:rPr>
          <w:lang w:val="pt-BR"/>
        </w:rPr>
        <w:t xml:space="preserve"> </w:t>
      </w:r>
      <w:r w:rsidR="00214AEE" w:rsidRPr="002F4565">
        <w:rPr>
          <w:lang w:val="pt-BR"/>
        </w:rPr>
        <w:t xml:space="preserve">responsabilizá-lo por deixar de </w:t>
      </w:r>
      <w:r w:rsidR="00F21F55" w:rsidRPr="002F4565">
        <w:rPr>
          <w:lang w:val="pt-BR"/>
        </w:rPr>
        <w:t>respeit</w:t>
      </w:r>
      <w:r w:rsidR="00214AEE" w:rsidRPr="002F4565">
        <w:rPr>
          <w:lang w:val="pt-BR"/>
        </w:rPr>
        <w:t>ar</w:t>
      </w:r>
      <w:r w:rsidRPr="002F4565">
        <w:rPr>
          <w:lang w:val="pt-BR"/>
        </w:rPr>
        <w:t xml:space="preserve">, </w:t>
      </w:r>
      <w:r w:rsidR="00624BDC" w:rsidRPr="002F4565">
        <w:rPr>
          <w:lang w:val="pt-BR"/>
        </w:rPr>
        <w:t>proteger</w:t>
      </w:r>
      <w:r w:rsidRPr="002F4565">
        <w:rPr>
          <w:lang w:val="pt-BR"/>
        </w:rPr>
        <w:t xml:space="preserve"> </w:t>
      </w:r>
      <w:r w:rsidR="0049090C" w:rsidRPr="002F4565">
        <w:rPr>
          <w:lang w:val="pt-BR"/>
        </w:rPr>
        <w:t>e</w:t>
      </w:r>
      <w:r w:rsidRPr="002F4565">
        <w:rPr>
          <w:lang w:val="pt-BR"/>
        </w:rPr>
        <w:t xml:space="preserve"> </w:t>
      </w:r>
      <w:r w:rsidR="00214AEE" w:rsidRPr="002F4565">
        <w:rPr>
          <w:lang w:val="pt-BR"/>
        </w:rPr>
        <w:t xml:space="preserve">fazer valer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214AEE" w:rsidRPr="002F4565">
        <w:rPr>
          <w:lang w:val="pt-BR"/>
        </w:rPr>
        <w:t>Nos casos em que o</w:t>
      </w:r>
      <w:r w:rsidR="004069A0" w:rsidRPr="002F4565">
        <w:rPr>
          <w:lang w:val="pt-BR"/>
        </w:rPr>
        <w:t>s Estados</w:t>
      </w:r>
      <w:r w:rsidRPr="002F4565">
        <w:rPr>
          <w:lang w:val="pt-BR"/>
        </w:rPr>
        <w:t xml:space="preserve"> </w:t>
      </w:r>
      <w:r w:rsidR="00214AEE" w:rsidRPr="002F4565">
        <w:rPr>
          <w:lang w:val="pt-BR"/>
        </w:rPr>
        <w:t xml:space="preserve">deixam de tomar as medidas para fazer valer os compromissos </w:t>
      </w:r>
      <w:r w:rsidR="00F21F55" w:rsidRPr="002F4565">
        <w:rPr>
          <w:lang w:val="pt-BR"/>
        </w:rPr>
        <w:t>internaciona</w:t>
      </w:r>
      <w:r w:rsidR="00214AEE" w:rsidRPr="002F4565">
        <w:rPr>
          <w:lang w:val="pt-BR"/>
        </w:rPr>
        <w:t xml:space="preserve">is de reduzir </w:t>
      </w:r>
      <w:r w:rsidR="00261A8A" w:rsidRPr="002F4565">
        <w:rPr>
          <w:lang w:val="pt-BR"/>
        </w:rPr>
        <w:t>o</w:t>
      </w:r>
      <w:r w:rsidRPr="002F4565">
        <w:rPr>
          <w:lang w:val="pt-BR"/>
        </w:rPr>
        <w:t xml:space="preserve"> </w:t>
      </w:r>
      <w:r w:rsidR="00F21F55" w:rsidRPr="002F4565">
        <w:rPr>
          <w:lang w:val="pt-BR"/>
        </w:rPr>
        <w:t>ônus</w:t>
      </w:r>
      <w:r w:rsidRPr="002F4565">
        <w:rPr>
          <w:lang w:val="pt-BR"/>
        </w:rPr>
        <w:t xml:space="preserve"> </w:t>
      </w:r>
      <w:r w:rsidR="0049090C" w:rsidRPr="002F4565">
        <w:rPr>
          <w:lang w:val="pt-BR"/>
        </w:rPr>
        <w:t>d</w:t>
      </w:r>
      <w:r w:rsidR="00214AEE" w:rsidRPr="002F4565">
        <w:rPr>
          <w:lang w:val="pt-BR"/>
        </w:rPr>
        <w:t>as</w:t>
      </w:r>
      <w:r w:rsidRPr="002F4565">
        <w:rPr>
          <w:lang w:val="pt-BR"/>
        </w:rPr>
        <w:t xml:space="preserve"> </w:t>
      </w:r>
      <w:r w:rsidR="0049090C" w:rsidRPr="002F4565">
        <w:rPr>
          <w:lang w:val="pt-BR"/>
        </w:rPr>
        <w:t>DNT</w:t>
      </w:r>
      <w:r w:rsidRPr="002F4565">
        <w:rPr>
          <w:lang w:val="pt-BR"/>
        </w:rPr>
        <w:t xml:space="preserve">s, </w:t>
      </w:r>
      <w:r w:rsidR="00F21F55" w:rsidRPr="002F4565">
        <w:rPr>
          <w:lang w:val="pt-BR"/>
        </w:rPr>
        <w:t>inclusive</w:t>
      </w:r>
      <w:r w:rsidRPr="002F4565">
        <w:rPr>
          <w:lang w:val="pt-BR"/>
        </w:rPr>
        <w:t xml:space="preserve"> </w:t>
      </w:r>
      <w:r w:rsidR="0049090C" w:rsidRPr="002F4565">
        <w:rPr>
          <w:lang w:val="pt-BR"/>
        </w:rPr>
        <w:t>DNTs relacionadas com a dieta</w:t>
      </w:r>
      <w:r w:rsidRPr="002F4565">
        <w:rPr>
          <w:lang w:val="pt-BR"/>
        </w:rPr>
        <w:t xml:space="preserve">, </w:t>
      </w:r>
      <w:proofErr w:type="gramStart"/>
      <w:r w:rsidR="00214AEE" w:rsidRPr="002F4565">
        <w:rPr>
          <w:lang w:val="pt-BR"/>
        </w:rPr>
        <w:t>as</w:t>
      </w:r>
      <w:proofErr w:type="gramEnd"/>
      <w:r w:rsidR="00214AEE" w:rsidRPr="002F4565">
        <w:rPr>
          <w:lang w:val="pt-BR"/>
        </w:rPr>
        <w:t xml:space="preserve"> </w:t>
      </w:r>
      <w:r w:rsidR="006A31E1" w:rsidRPr="002F4565">
        <w:rPr>
          <w:lang w:val="pt-BR"/>
        </w:rPr>
        <w:t>pessoas</w:t>
      </w:r>
      <w:r w:rsidRPr="002F4565">
        <w:rPr>
          <w:lang w:val="pt-BR"/>
        </w:rPr>
        <w:t xml:space="preserve"> </w:t>
      </w:r>
      <w:r w:rsidR="002E1AA7" w:rsidRPr="002F4565">
        <w:rPr>
          <w:lang w:val="pt-BR"/>
        </w:rPr>
        <w:t>devem</w:t>
      </w:r>
      <w:r w:rsidRPr="002F4565">
        <w:rPr>
          <w:lang w:val="pt-BR"/>
        </w:rPr>
        <w:t xml:space="preserve"> </w:t>
      </w:r>
      <w:r w:rsidR="00214AEE" w:rsidRPr="002F4565">
        <w:rPr>
          <w:lang w:val="pt-BR"/>
        </w:rPr>
        <w:t xml:space="preserve">ter </w:t>
      </w:r>
      <w:r w:rsidR="006A31E1" w:rsidRPr="002F4565">
        <w:rPr>
          <w:lang w:val="pt-BR"/>
        </w:rPr>
        <w:t>acesso</w:t>
      </w:r>
      <w:r w:rsidRPr="002F4565">
        <w:rPr>
          <w:lang w:val="pt-BR"/>
        </w:rPr>
        <w:t xml:space="preserve"> </w:t>
      </w:r>
      <w:r w:rsidR="00214AEE" w:rsidRPr="002F4565">
        <w:rPr>
          <w:lang w:val="pt-BR"/>
        </w:rPr>
        <w:t>a</w:t>
      </w:r>
      <w:r w:rsidRPr="002F4565">
        <w:rPr>
          <w:lang w:val="pt-BR"/>
        </w:rPr>
        <w:t xml:space="preserve"> </w:t>
      </w:r>
      <w:r w:rsidR="00F21F55" w:rsidRPr="002F4565">
        <w:rPr>
          <w:lang w:val="pt-BR"/>
        </w:rPr>
        <w:t>mecanismo</w:t>
      </w:r>
      <w:r w:rsidRPr="002F4565">
        <w:rPr>
          <w:lang w:val="pt-BR"/>
        </w:rPr>
        <w:t xml:space="preserve">s </w:t>
      </w:r>
      <w:r w:rsidR="00214AEE" w:rsidRPr="002F4565">
        <w:rPr>
          <w:lang w:val="pt-BR"/>
        </w:rPr>
        <w:t xml:space="preserve">domésticos e depois internacionais para entrar com ação contra os </w:t>
      </w:r>
      <w:r w:rsidR="004069A0" w:rsidRPr="002F4565">
        <w:rPr>
          <w:lang w:val="pt-BR"/>
        </w:rPr>
        <w:t>Estados</w:t>
      </w:r>
      <w:r w:rsidRPr="002F4565">
        <w:rPr>
          <w:lang w:val="pt-BR"/>
        </w:rPr>
        <w:t xml:space="preserve"> </w:t>
      </w:r>
      <w:r w:rsidR="00214AEE" w:rsidRPr="002F4565">
        <w:rPr>
          <w:lang w:val="pt-BR"/>
        </w:rPr>
        <w:t>p</w:t>
      </w:r>
      <w:r w:rsidRPr="002F4565">
        <w:rPr>
          <w:lang w:val="pt-BR"/>
        </w:rPr>
        <w:t xml:space="preserve">or </w:t>
      </w:r>
      <w:r w:rsidR="005A25F5" w:rsidRPr="002F4565">
        <w:rPr>
          <w:lang w:val="pt-BR"/>
        </w:rPr>
        <w:t>não</w:t>
      </w:r>
      <w:r w:rsidRPr="002F4565">
        <w:rPr>
          <w:lang w:val="pt-BR"/>
        </w:rPr>
        <w:t xml:space="preserve"> </w:t>
      </w:r>
      <w:r w:rsidR="00214AEE" w:rsidRPr="002F4565">
        <w:rPr>
          <w:lang w:val="pt-BR"/>
        </w:rPr>
        <w:t>tomar as medidas necessárias para este fim</w:t>
      </w:r>
      <w:r w:rsidRPr="002F4565">
        <w:rPr>
          <w:lang w:val="pt-BR"/>
        </w:rPr>
        <w:t xml:space="preserve">. </w:t>
      </w:r>
      <w:r w:rsidR="00214AEE" w:rsidRPr="002F4565">
        <w:rPr>
          <w:lang w:val="pt-BR"/>
        </w:rPr>
        <w:t xml:space="preserve">Garantir </w:t>
      </w:r>
      <w:r w:rsidR="006A31E1" w:rsidRPr="002F4565">
        <w:rPr>
          <w:lang w:val="pt-BR"/>
        </w:rPr>
        <w:t>acesso</w:t>
      </w:r>
      <w:r w:rsidRPr="002F4565">
        <w:rPr>
          <w:lang w:val="pt-BR"/>
        </w:rPr>
        <w:t xml:space="preserve"> </w:t>
      </w:r>
      <w:r w:rsidR="00214AEE" w:rsidRPr="002F4565">
        <w:rPr>
          <w:lang w:val="pt-BR"/>
        </w:rPr>
        <w:t xml:space="preserve">a uma série de </w:t>
      </w:r>
      <w:r w:rsidR="005A25F5" w:rsidRPr="002F4565">
        <w:rPr>
          <w:lang w:val="pt-BR"/>
        </w:rPr>
        <w:t>recursos</w:t>
      </w:r>
      <w:r w:rsidRPr="002F4565">
        <w:rPr>
          <w:lang w:val="pt-BR"/>
        </w:rPr>
        <w:t xml:space="preserve">, </w:t>
      </w:r>
      <w:r w:rsidR="00214AEE" w:rsidRPr="002F4565">
        <w:rPr>
          <w:lang w:val="pt-BR"/>
        </w:rPr>
        <w:t>na forma de restituição</w:t>
      </w:r>
      <w:r w:rsidRPr="002F4565">
        <w:rPr>
          <w:lang w:val="pt-BR"/>
        </w:rPr>
        <w:t xml:space="preserve">, </w:t>
      </w:r>
      <w:r w:rsidR="00214AEE" w:rsidRPr="002F4565">
        <w:rPr>
          <w:lang w:val="pt-BR"/>
        </w:rPr>
        <w:t>indenização</w:t>
      </w:r>
      <w:r w:rsidRPr="002F4565">
        <w:rPr>
          <w:lang w:val="pt-BR"/>
        </w:rPr>
        <w:t>, satisfa</w:t>
      </w:r>
      <w:r w:rsidR="00214AEE" w:rsidRPr="002F4565">
        <w:rPr>
          <w:lang w:val="pt-BR"/>
        </w:rPr>
        <w:t xml:space="preserve">ção </w:t>
      </w:r>
      <w:r w:rsidR="003F41C2" w:rsidRPr="002F4565">
        <w:rPr>
          <w:lang w:val="pt-BR"/>
        </w:rPr>
        <w:t>ou</w:t>
      </w:r>
      <w:r w:rsidRPr="002F4565">
        <w:rPr>
          <w:lang w:val="pt-BR"/>
        </w:rPr>
        <w:t xml:space="preserve"> garant</w:t>
      </w:r>
      <w:r w:rsidR="00214AEE" w:rsidRPr="002F4565">
        <w:rPr>
          <w:lang w:val="pt-BR"/>
        </w:rPr>
        <w:t xml:space="preserve">ias </w:t>
      </w:r>
      <w:r w:rsidR="0049090C" w:rsidRPr="002F4565">
        <w:rPr>
          <w:lang w:val="pt-BR"/>
        </w:rPr>
        <w:t>de</w:t>
      </w:r>
      <w:r w:rsidRPr="002F4565">
        <w:rPr>
          <w:lang w:val="pt-BR"/>
        </w:rPr>
        <w:t xml:space="preserve"> n</w:t>
      </w:r>
      <w:r w:rsidR="00214AEE" w:rsidRPr="002F4565">
        <w:rPr>
          <w:lang w:val="pt-BR"/>
        </w:rPr>
        <w:t xml:space="preserve">ão </w:t>
      </w:r>
      <w:r w:rsidRPr="002F4565">
        <w:rPr>
          <w:lang w:val="pt-BR"/>
        </w:rPr>
        <w:t>repeti</w:t>
      </w:r>
      <w:r w:rsidR="00214AEE" w:rsidRPr="002F4565">
        <w:rPr>
          <w:lang w:val="pt-BR"/>
        </w:rPr>
        <w:t>ção</w:t>
      </w:r>
      <w:r w:rsidRPr="002F4565">
        <w:rPr>
          <w:lang w:val="pt-BR"/>
        </w:rPr>
        <w:t xml:space="preserve">, </w:t>
      </w:r>
      <w:r w:rsidR="005A25F5" w:rsidRPr="002F4565">
        <w:rPr>
          <w:lang w:val="pt-BR"/>
        </w:rPr>
        <w:t>é</w:t>
      </w:r>
      <w:r w:rsidRPr="002F4565">
        <w:rPr>
          <w:lang w:val="pt-BR"/>
        </w:rPr>
        <w:t xml:space="preserve"> </w:t>
      </w:r>
      <w:r w:rsidR="00214AEE" w:rsidRPr="002F4565">
        <w:rPr>
          <w:lang w:val="pt-BR"/>
        </w:rPr>
        <w:t xml:space="preserve">uma forma eficaz de responsabilizar os agentes do </w:t>
      </w:r>
      <w:r w:rsidR="006A31E1" w:rsidRPr="002F4565">
        <w:rPr>
          <w:lang w:val="pt-BR"/>
        </w:rPr>
        <w:t>Estado</w:t>
      </w:r>
      <w:r w:rsidRPr="002F4565">
        <w:rPr>
          <w:lang w:val="pt-BR"/>
        </w:rPr>
        <w:t xml:space="preserve"> </w:t>
      </w:r>
      <w:r w:rsidR="0049090C" w:rsidRPr="002F4565">
        <w:rPr>
          <w:lang w:val="pt-BR"/>
        </w:rPr>
        <w:t>e</w:t>
      </w:r>
      <w:r w:rsidRPr="002F4565">
        <w:rPr>
          <w:lang w:val="pt-BR"/>
        </w:rPr>
        <w:t xml:space="preserve"> </w:t>
      </w:r>
      <w:r w:rsidR="00214AEE" w:rsidRPr="002F4565">
        <w:rPr>
          <w:lang w:val="pt-BR"/>
        </w:rPr>
        <w:t xml:space="preserve">não pertencentes ao </w:t>
      </w:r>
      <w:r w:rsidR="006A31E1" w:rsidRPr="002F4565">
        <w:rPr>
          <w:lang w:val="pt-BR"/>
        </w:rPr>
        <w:t>Estado</w:t>
      </w:r>
      <w:r w:rsidRPr="002F4565">
        <w:rPr>
          <w:lang w:val="pt-BR"/>
        </w:rPr>
        <w:t xml:space="preserve"> </w:t>
      </w:r>
      <w:r w:rsidR="00214AEE" w:rsidRPr="002F4565">
        <w:rPr>
          <w:lang w:val="pt-BR"/>
        </w:rPr>
        <w:t xml:space="preserve">por </w:t>
      </w:r>
      <w:r w:rsidRPr="002F4565">
        <w:rPr>
          <w:lang w:val="pt-BR"/>
        </w:rPr>
        <w:t>viol</w:t>
      </w:r>
      <w:r w:rsidR="00F21F55" w:rsidRPr="002F4565">
        <w:rPr>
          <w:lang w:val="pt-BR"/>
        </w:rPr>
        <w:t>ações</w:t>
      </w:r>
      <w:r w:rsidRPr="002F4565">
        <w:rPr>
          <w:lang w:val="pt-BR"/>
        </w:rPr>
        <w:t xml:space="preserve"> </w:t>
      </w:r>
      <w:r w:rsidR="00214AEE" w:rsidRPr="002F4565">
        <w:rPr>
          <w:lang w:val="pt-BR"/>
        </w:rPr>
        <w:t xml:space="preserve">ao </w:t>
      </w:r>
      <w:r w:rsidR="00F21F55" w:rsidRPr="002F4565">
        <w:rPr>
          <w:lang w:val="pt-BR"/>
        </w:rPr>
        <w:t>direito à saúde</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IX. </w:t>
      </w:r>
      <w:r w:rsidR="00214AEE" w:rsidRPr="002F4565">
        <w:rPr>
          <w:lang w:val="pt-BR"/>
        </w:rPr>
        <w:t>A</w:t>
      </w:r>
      <w:r w:rsidR="00F21F55" w:rsidRPr="002F4565">
        <w:rPr>
          <w:lang w:val="pt-BR"/>
        </w:rPr>
        <w:t>ssistência</w:t>
      </w:r>
      <w:r w:rsidRPr="002F4565">
        <w:rPr>
          <w:lang w:val="pt-BR"/>
        </w:rPr>
        <w:t xml:space="preserve"> </w:t>
      </w:r>
      <w:r w:rsidR="0049090C" w:rsidRPr="002F4565">
        <w:rPr>
          <w:lang w:val="pt-BR"/>
        </w:rPr>
        <w:t>e</w:t>
      </w:r>
      <w:r w:rsidRPr="002F4565">
        <w:rPr>
          <w:lang w:val="pt-BR"/>
        </w:rPr>
        <w:t xml:space="preserve"> cooper</w:t>
      </w:r>
      <w:r w:rsidR="00F21F55" w:rsidRPr="002F4565">
        <w:rPr>
          <w:lang w:val="pt-BR"/>
        </w:rPr>
        <w:t>ação</w:t>
      </w:r>
      <w:r w:rsidRPr="002F4565">
        <w:rPr>
          <w:lang w:val="pt-BR"/>
        </w:rPr>
        <w:t xml:space="preserve"> </w:t>
      </w:r>
      <w:r w:rsidR="00214AEE" w:rsidRPr="002F4565">
        <w:rPr>
          <w:lang w:val="pt-BR"/>
        </w:rPr>
        <w:t>internacional</w:t>
      </w:r>
    </w:p>
    <w:p w:rsidR="00115B91" w:rsidRPr="002F4565" w:rsidRDefault="00115B91" w:rsidP="0051636A">
      <w:pPr>
        <w:spacing w:before="120" w:after="0" w:line="240" w:lineRule="auto"/>
        <w:rPr>
          <w:lang w:val="pt-BR"/>
        </w:rPr>
      </w:pPr>
      <w:r w:rsidRPr="002F4565">
        <w:rPr>
          <w:lang w:val="pt-BR"/>
        </w:rPr>
        <w:t xml:space="preserve">56. </w:t>
      </w:r>
      <w:r w:rsidR="00BA446D" w:rsidRPr="002F4565">
        <w:rPr>
          <w:lang w:val="pt-BR"/>
        </w:rPr>
        <w:t xml:space="preserve">Segundo a </w:t>
      </w:r>
      <w:r w:rsidR="00E62864" w:rsidRPr="002F4565">
        <w:rPr>
          <w:lang w:val="pt-BR"/>
        </w:rPr>
        <w:t xml:space="preserve">estrutura </w:t>
      </w:r>
      <w:r w:rsidR="00BA446D" w:rsidRPr="002F4565">
        <w:rPr>
          <w:lang w:val="pt-BR"/>
        </w:rPr>
        <w:t xml:space="preserve">do direito à </w:t>
      </w:r>
      <w:r w:rsidR="00E62864" w:rsidRPr="002F4565">
        <w:rPr>
          <w:lang w:val="pt-BR"/>
        </w:rPr>
        <w:t>saúde</w:t>
      </w:r>
      <w:r w:rsidRPr="002F4565">
        <w:rPr>
          <w:lang w:val="pt-BR"/>
        </w:rPr>
        <w:t xml:space="preserve">, </w:t>
      </w:r>
      <w:r w:rsidR="00BA446D" w:rsidRPr="002F4565">
        <w:rPr>
          <w:lang w:val="pt-BR"/>
        </w:rPr>
        <w:t>o</w:t>
      </w:r>
      <w:r w:rsidR="004069A0" w:rsidRPr="002F4565">
        <w:rPr>
          <w:lang w:val="pt-BR"/>
        </w:rPr>
        <w:t>s Estados</w:t>
      </w:r>
      <w:r w:rsidRPr="002F4565">
        <w:rPr>
          <w:lang w:val="pt-BR"/>
        </w:rPr>
        <w:t xml:space="preserve"> </w:t>
      </w:r>
      <w:r w:rsidR="002E1AA7" w:rsidRPr="002F4565">
        <w:rPr>
          <w:lang w:val="pt-BR"/>
        </w:rPr>
        <w:t>devem</w:t>
      </w:r>
      <w:r w:rsidRPr="002F4565">
        <w:rPr>
          <w:lang w:val="pt-BR"/>
        </w:rPr>
        <w:t xml:space="preserve"> </w:t>
      </w:r>
      <w:r w:rsidR="00BA446D" w:rsidRPr="002F4565">
        <w:rPr>
          <w:lang w:val="pt-BR"/>
        </w:rPr>
        <w:t xml:space="preserve">ampliar a </w:t>
      </w:r>
      <w:r w:rsidR="00F21F55" w:rsidRPr="002F4565">
        <w:rPr>
          <w:lang w:val="pt-BR"/>
        </w:rPr>
        <w:t>assistência</w:t>
      </w:r>
      <w:r w:rsidRPr="002F4565">
        <w:rPr>
          <w:lang w:val="pt-BR"/>
        </w:rPr>
        <w:t xml:space="preserve"> </w:t>
      </w:r>
      <w:r w:rsidR="0049090C" w:rsidRPr="002F4565">
        <w:rPr>
          <w:lang w:val="pt-BR"/>
        </w:rPr>
        <w:t>e</w:t>
      </w:r>
      <w:r w:rsidRPr="002F4565">
        <w:rPr>
          <w:lang w:val="pt-BR"/>
        </w:rPr>
        <w:t xml:space="preserve"> cooper</w:t>
      </w:r>
      <w:r w:rsidR="00F21F55" w:rsidRPr="002F4565">
        <w:rPr>
          <w:lang w:val="pt-BR"/>
        </w:rPr>
        <w:t>ação</w:t>
      </w:r>
      <w:r w:rsidRPr="002F4565">
        <w:rPr>
          <w:lang w:val="pt-BR"/>
        </w:rPr>
        <w:t xml:space="preserve"> </w:t>
      </w:r>
      <w:r w:rsidR="00BA446D" w:rsidRPr="002F4565">
        <w:rPr>
          <w:lang w:val="pt-BR"/>
        </w:rPr>
        <w:t xml:space="preserve">para o exercício completo do </w:t>
      </w:r>
      <w:r w:rsidR="00F21F55" w:rsidRPr="002F4565">
        <w:rPr>
          <w:lang w:val="pt-BR"/>
        </w:rPr>
        <w:t>direito à saúde</w:t>
      </w:r>
      <w:r w:rsidRPr="002F4565">
        <w:rPr>
          <w:lang w:val="pt-BR"/>
        </w:rPr>
        <w:t xml:space="preserve">. </w:t>
      </w:r>
      <w:r w:rsidR="00BA446D" w:rsidRPr="002F4565">
        <w:rPr>
          <w:lang w:val="pt-BR"/>
        </w:rPr>
        <w:t xml:space="preserve">Quando celebram contratos </w:t>
      </w:r>
      <w:r w:rsidR="00F21F55" w:rsidRPr="002F4565">
        <w:rPr>
          <w:lang w:val="pt-BR"/>
        </w:rPr>
        <w:t>internaciona</w:t>
      </w:r>
      <w:r w:rsidR="00BA446D" w:rsidRPr="002F4565">
        <w:rPr>
          <w:lang w:val="pt-BR"/>
        </w:rPr>
        <w:t>is</w:t>
      </w:r>
      <w:r w:rsidRPr="002F4565">
        <w:rPr>
          <w:lang w:val="pt-BR"/>
        </w:rPr>
        <w:t xml:space="preserve">, </w:t>
      </w:r>
      <w:r w:rsidR="00BA446D" w:rsidRPr="002F4565">
        <w:rPr>
          <w:lang w:val="pt-BR"/>
        </w:rPr>
        <w:t>os Estados</w:t>
      </w:r>
      <w:r w:rsidRPr="002F4565">
        <w:rPr>
          <w:lang w:val="pt-BR"/>
        </w:rPr>
        <w:t xml:space="preserve"> </w:t>
      </w:r>
      <w:r w:rsidR="002E1AA7" w:rsidRPr="002F4565">
        <w:rPr>
          <w:lang w:val="pt-BR"/>
        </w:rPr>
        <w:t>devem</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BA446D" w:rsidRPr="002F4565">
        <w:rPr>
          <w:lang w:val="pt-BR"/>
        </w:rPr>
        <w:t xml:space="preserve">tais contratos não prejudiquem o exercício do </w:t>
      </w:r>
      <w:r w:rsidR="00F21F55" w:rsidRPr="002F4565">
        <w:rPr>
          <w:lang w:val="pt-BR"/>
        </w:rPr>
        <w:t>direito à saúde</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57. </w:t>
      </w:r>
      <w:r w:rsidR="00BA446D" w:rsidRPr="002F4565">
        <w:rPr>
          <w:lang w:val="pt-BR"/>
        </w:rPr>
        <w:t xml:space="preserve">O fato de dar primazia ao comércio </w:t>
      </w:r>
      <w:r w:rsidR="00F21F55" w:rsidRPr="002F4565">
        <w:rPr>
          <w:lang w:val="pt-BR"/>
        </w:rPr>
        <w:t>internacional</w:t>
      </w:r>
      <w:r w:rsidRPr="002F4565">
        <w:rPr>
          <w:lang w:val="pt-BR"/>
        </w:rPr>
        <w:t xml:space="preserve"> </w:t>
      </w:r>
      <w:r w:rsidR="00BA446D" w:rsidRPr="002F4565">
        <w:rPr>
          <w:lang w:val="pt-BR"/>
        </w:rPr>
        <w:t xml:space="preserve">em detrimento do </w:t>
      </w:r>
      <w:r w:rsidR="00F21F55" w:rsidRPr="002F4565">
        <w:rPr>
          <w:lang w:val="pt-BR"/>
        </w:rPr>
        <w:t>direito à saúde</w:t>
      </w:r>
      <w:r w:rsidRPr="002F4565">
        <w:rPr>
          <w:lang w:val="pt-BR"/>
        </w:rPr>
        <w:t xml:space="preserve"> </w:t>
      </w:r>
      <w:r w:rsidR="00BA446D" w:rsidRPr="002F4565">
        <w:rPr>
          <w:lang w:val="pt-BR"/>
        </w:rPr>
        <w:t xml:space="preserve">tem enormes repercussões sobre a </w:t>
      </w:r>
      <w:r w:rsidR="00C47496" w:rsidRPr="002F4565">
        <w:rPr>
          <w:lang w:val="pt-BR"/>
        </w:rPr>
        <w:t xml:space="preserve">saúde </w:t>
      </w:r>
      <w:proofErr w:type="gramStart"/>
      <w:r w:rsidR="00C47496" w:rsidRPr="002F4565">
        <w:rPr>
          <w:lang w:val="pt-BR"/>
        </w:rPr>
        <w:t>pública</w:t>
      </w:r>
      <w:r w:rsidRPr="002F4565">
        <w:rPr>
          <w:lang w:val="pt-BR"/>
        </w:rPr>
        <w:t>.</w:t>
      </w:r>
      <w:proofErr w:type="gramEnd"/>
      <w:r w:rsidRPr="002F4565">
        <w:rPr>
          <w:vertAlign w:val="superscript"/>
          <w:lang w:val="pt-BR"/>
        </w:rPr>
        <w:t>80</w:t>
      </w:r>
      <w:r w:rsidRPr="002F4565">
        <w:rPr>
          <w:lang w:val="pt-BR"/>
        </w:rPr>
        <w:t xml:space="preserve"> </w:t>
      </w:r>
      <w:r w:rsidR="00624BDC" w:rsidRPr="002F4565">
        <w:rPr>
          <w:lang w:val="pt-BR"/>
        </w:rPr>
        <w:t>Por exemplo</w:t>
      </w:r>
      <w:r w:rsidRPr="002F4565">
        <w:rPr>
          <w:lang w:val="pt-BR"/>
        </w:rPr>
        <w:t xml:space="preserve">, </w:t>
      </w:r>
      <w:r w:rsidR="00BA446D" w:rsidRPr="002F4565">
        <w:rPr>
          <w:lang w:val="pt-BR"/>
        </w:rPr>
        <w:t>segundo contratos de comércio internacional</w:t>
      </w:r>
      <w:r w:rsidRPr="002F4565">
        <w:rPr>
          <w:lang w:val="pt-BR"/>
        </w:rPr>
        <w:t xml:space="preserve">, </w:t>
      </w:r>
      <w:r w:rsidR="00BA446D" w:rsidRPr="002F4565">
        <w:rPr>
          <w:lang w:val="pt-BR"/>
        </w:rPr>
        <w:t>os Estados</w:t>
      </w:r>
      <w:r w:rsidRPr="002F4565">
        <w:rPr>
          <w:lang w:val="pt-BR"/>
        </w:rPr>
        <w:t xml:space="preserve"> </w:t>
      </w:r>
      <w:r w:rsidR="00BA446D" w:rsidRPr="002F4565">
        <w:rPr>
          <w:lang w:val="pt-BR"/>
        </w:rPr>
        <w:t xml:space="preserve">algumas vezes expressam preocupações </w:t>
      </w:r>
      <w:r w:rsidR="00F21F55" w:rsidRPr="002F4565">
        <w:rPr>
          <w:lang w:val="pt-BR"/>
        </w:rPr>
        <w:t>sobre</w:t>
      </w:r>
      <w:r w:rsidRPr="002F4565">
        <w:rPr>
          <w:lang w:val="pt-BR"/>
        </w:rPr>
        <w:t xml:space="preserve"> </w:t>
      </w:r>
      <w:r w:rsidR="00BA446D" w:rsidRPr="002F4565">
        <w:rPr>
          <w:lang w:val="pt-BR"/>
        </w:rPr>
        <w:t xml:space="preserve">os </w:t>
      </w:r>
      <w:r w:rsidR="00C47496" w:rsidRPr="002F4565">
        <w:rPr>
          <w:lang w:val="pt-BR"/>
        </w:rPr>
        <w:t>requisitos</w:t>
      </w:r>
      <w:r w:rsidRPr="002F4565">
        <w:rPr>
          <w:lang w:val="pt-BR"/>
        </w:rPr>
        <w:t xml:space="preserve"> </w:t>
      </w:r>
      <w:r w:rsidR="00BA446D" w:rsidRPr="002F4565">
        <w:rPr>
          <w:lang w:val="pt-BR"/>
        </w:rPr>
        <w:t>de</w:t>
      </w:r>
      <w:r w:rsidRPr="002F4565">
        <w:rPr>
          <w:lang w:val="pt-BR"/>
        </w:rPr>
        <w:t xml:space="preserve"> </w:t>
      </w:r>
      <w:r w:rsidR="003F41C2" w:rsidRPr="002F4565">
        <w:rPr>
          <w:lang w:val="pt-BR"/>
        </w:rPr>
        <w:t>outr</w:t>
      </w:r>
      <w:r w:rsidR="00BA446D" w:rsidRPr="002F4565">
        <w:rPr>
          <w:lang w:val="pt-BR"/>
        </w:rPr>
        <w:t>a</w:t>
      </w:r>
      <w:r w:rsidR="003F41C2" w:rsidRPr="002F4565">
        <w:rPr>
          <w:lang w:val="pt-BR"/>
        </w:rPr>
        <w:t>s</w:t>
      </w:r>
      <w:r w:rsidRPr="002F4565">
        <w:rPr>
          <w:lang w:val="pt-BR"/>
        </w:rPr>
        <w:t xml:space="preserve"> </w:t>
      </w:r>
      <w:r w:rsidR="0049090C" w:rsidRPr="002F4565">
        <w:rPr>
          <w:lang w:val="pt-BR"/>
        </w:rPr>
        <w:t>políticas</w:t>
      </w:r>
      <w:r w:rsidR="00BA446D" w:rsidRPr="002F4565">
        <w:rPr>
          <w:lang w:val="pt-BR"/>
        </w:rPr>
        <w:t xml:space="preserve"> de rotulagem </w:t>
      </w:r>
      <w:r w:rsidR="007245D6" w:rsidRPr="002F4565">
        <w:rPr>
          <w:lang w:val="pt-BR"/>
        </w:rPr>
        <w:t xml:space="preserve">de </w:t>
      </w:r>
      <w:r w:rsidR="00BA446D" w:rsidRPr="002F4565">
        <w:rPr>
          <w:lang w:val="pt-BR"/>
        </w:rPr>
        <w:t>nutrição nacional nos Estados</w:t>
      </w:r>
      <w:r w:rsidRPr="002F4565">
        <w:rPr>
          <w:lang w:val="pt-BR"/>
        </w:rPr>
        <w:t xml:space="preserve">, </w:t>
      </w:r>
      <w:r w:rsidR="00BA446D" w:rsidRPr="002F4565">
        <w:rPr>
          <w:lang w:val="pt-BR"/>
        </w:rPr>
        <w:t xml:space="preserve">que foram </w:t>
      </w:r>
      <w:r w:rsidRPr="002F4565">
        <w:rPr>
          <w:lang w:val="pt-BR"/>
        </w:rPr>
        <w:t>institu</w:t>
      </w:r>
      <w:r w:rsidR="00BA446D" w:rsidRPr="002F4565">
        <w:rPr>
          <w:lang w:val="pt-BR"/>
        </w:rPr>
        <w:t xml:space="preserve">ídas para atingir as metas de </w:t>
      </w:r>
      <w:r w:rsidR="00C47496" w:rsidRPr="002F4565">
        <w:rPr>
          <w:lang w:val="pt-BR"/>
        </w:rPr>
        <w:t>saúde pública</w:t>
      </w:r>
      <w:r w:rsidRPr="002F4565">
        <w:rPr>
          <w:lang w:val="pt-BR"/>
        </w:rPr>
        <w:t>.</w:t>
      </w:r>
      <w:r w:rsidRPr="002F4565">
        <w:rPr>
          <w:vertAlign w:val="superscript"/>
          <w:lang w:val="pt-BR"/>
        </w:rPr>
        <w:t>81</w:t>
      </w:r>
      <w:r w:rsidRPr="002F4565">
        <w:rPr>
          <w:lang w:val="pt-BR"/>
        </w:rPr>
        <w:t xml:space="preserve"> </w:t>
      </w:r>
      <w:r w:rsidR="00BA446D" w:rsidRPr="002F4565">
        <w:rPr>
          <w:lang w:val="pt-BR"/>
        </w:rPr>
        <w:t xml:space="preserve">Estas </w:t>
      </w:r>
      <w:r w:rsidR="003C09F9" w:rsidRPr="002F4565">
        <w:rPr>
          <w:lang w:val="pt-BR"/>
        </w:rPr>
        <w:t>práticas</w:t>
      </w:r>
      <w:r w:rsidRPr="002F4565">
        <w:rPr>
          <w:lang w:val="pt-BR"/>
        </w:rPr>
        <w:t xml:space="preserve"> </w:t>
      </w:r>
      <w:r w:rsidR="000E48EB" w:rsidRPr="002F4565">
        <w:rPr>
          <w:lang w:val="pt-BR"/>
        </w:rPr>
        <w:t>podem</w:t>
      </w:r>
      <w:r w:rsidRPr="002F4565">
        <w:rPr>
          <w:lang w:val="pt-BR"/>
        </w:rPr>
        <w:t xml:space="preserve"> </w:t>
      </w:r>
      <w:r w:rsidR="00BA446D" w:rsidRPr="002F4565">
        <w:rPr>
          <w:lang w:val="pt-BR"/>
        </w:rPr>
        <w:t xml:space="preserve">restringir o espaço das </w:t>
      </w:r>
      <w:r w:rsidR="00791370" w:rsidRPr="002F4565">
        <w:rPr>
          <w:lang w:val="pt-BR"/>
        </w:rPr>
        <w:t>política</w:t>
      </w:r>
      <w:r w:rsidR="00BA446D" w:rsidRPr="002F4565">
        <w:rPr>
          <w:lang w:val="pt-BR"/>
        </w:rPr>
        <w:t>s</w:t>
      </w:r>
      <w:r w:rsidRPr="002F4565">
        <w:rPr>
          <w:lang w:val="pt-BR"/>
        </w:rPr>
        <w:t xml:space="preserve"> </w:t>
      </w:r>
      <w:r w:rsidR="00BA446D" w:rsidRPr="002F4565">
        <w:rPr>
          <w:lang w:val="pt-BR"/>
        </w:rPr>
        <w:t xml:space="preserve">nos </w:t>
      </w:r>
      <w:r w:rsidR="00FB4DE4" w:rsidRPr="002F4565">
        <w:rPr>
          <w:lang w:val="pt-BR"/>
        </w:rPr>
        <w:t>países em desenvolvimento em</w:t>
      </w:r>
      <w:r w:rsidRPr="002F4565">
        <w:rPr>
          <w:lang w:val="pt-BR"/>
        </w:rPr>
        <w:t xml:space="preserve"> </w:t>
      </w:r>
      <w:r w:rsidR="00BA446D" w:rsidRPr="002F4565">
        <w:rPr>
          <w:lang w:val="pt-BR"/>
        </w:rPr>
        <w:t>favor</w:t>
      </w:r>
      <w:r w:rsidRPr="002F4565">
        <w:rPr>
          <w:lang w:val="pt-BR"/>
        </w:rPr>
        <w:t xml:space="preserve"> </w:t>
      </w:r>
      <w:r w:rsidR="0049090C" w:rsidRPr="002F4565">
        <w:rPr>
          <w:lang w:val="pt-BR"/>
        </w:rPr>
        <w:t>d</w:t>
      </w:r>
      <w:r w:rsidR="00BA446D" w:rsidRPr="002F4565">
        <w:rPr>
          <w:lang w:val="pt-BR"/>
        </w:rPr>
        <w:t xml:space="preserve">a atração de </w:t>
      </w:r>
      <w:r w:rsidRPr="002F4565">
        <w:rPr>
          <w:lang w:val="pt-BR"/>
        </w:rPr>
        <w:t>FDI</w:t>
      </w:r>
      <w:r w:rsidR="007245D6" w:rsidRPr="002F4565">
        <w:rPr>
          <w:lang w:val="pt-BR"/>
        </w:rPr>
        <w:t>s</w:t>
      </w:r>
      <w:r w:rsidRPr="002F4565">
        <w:rPr>
          <w:lang w:val="pt-BR"/>
        </w:rPr>
        <w:t xml:space="preserve"> </w:t>
      </w:r>
      <w:r w:rsidR="0049090C" w:rsidRPr="002F4565">
        <w:rPr>
          <w:lang w:val="pt-BR"/>
        </w:rPr>
        <w:t>e</w:t>
      </w:r>
      <w:r w:rsidRPr="002F4565">
        <w:rPr>
          <w:lang w:val="pt-BR"/>
        </w:rPr>
        <w:t xml:space="preserve"> </w:t>
      </w:r>
      <w:r w:rsidR="007245D6" w:rsidRPr="002F4565">
        <w:rPr>
          <w:lang w:val="pt-BR"/>
        </w:rPr>
        <w:t xml:space="preserve">prevenção </w:t>
      </w:r>
      <w:r w:rsidR="00BA446D" w:rsidRPr="002F4565">
        <w:rPr>
          <w:lang w:val="pt-BR"/>
        </w:rPr>
        <w:t xml:space="preserve">de sanções </w:t>
      </w:r>
      <w:r w:rsidR="005A25F5" w:rsidRPr="002F4565">
        <w:rPr>
          <w:lang w:val="pt-BR"/>
        </w:rPr>
        <w:t>econômic</w:t>
      </w:r>
      <w:r w:rsidR="00BA446D" w:rsidRPr="002F4565">
        <w:rPr>
          <w:lang w:val="pt-BR"/>
        </w:rPr>
        <w:t>a</w:t>
      </w:r>
      <w:r w:rsidR="005A25F5" w:rsidRPr="002F4565">
        <w:rPr>
          <w:lang w:val="pt-BR"/>
        </w:rPr>
        <w:t>s</w:t>
      </w:r>
      <w:r w:rsidRPr="002F4565">
        <w:rPr>
          <w:lang w:val="pt-BR"/>
        </w:rPr>
        <w:t>.</w:t>
      </w:r>
      <w:r w:rsidRPr="002F4565">
        <w:rPr>
          <w:vertAlign w:val="superscript"/>
          <w:lang w:val="pt-BR"/>
        </w:rPr>
        <w:t>82</w:t>
      </w:r>
      <w:r w:rsidRPr="002F4565">
        <w:rPr>
          <w:lang w:val="pt-BR"/>
        </w:rPr>
        <w:t xml:space="preserve"> </w:t>
      </w:r>
      <w:r w:rsidR="00BA446D" w:rsidRPr="002F4565">
        <w:rPr>
          <w:lang w:val="pt-BR"/>
        </w:rPr>
        <w:t xml:space="preserve">Os </w:t>
      </w:r>
      <w:r w:rsidR="00E62864" w:rsidRPr="002F4565">
        <w:rPr>
          <w:lang w:val="pt-BR"/>
        </w:rPr>
        <w:t>tratados</w:t>
      </w:r>
      <w:r w:rsidRPr="002F4565">
        <w:rPr>
          <w:lang w:val="pt-BR"/>
        </w:rPr>
        <w:t xml:space="preserve"> </w:t>
      </w:r>
      <w:r w:rsidR="00BA446D" w:rsidRPr="002F4565">
        <w:rPr>
          <w:lang w:val="pt-BR"/>
        </w:rPr>
        <w:t xml:space="preserve">de investimentos bilaterais </w:t>
      </w:r>
      <w:r w:rsidR="000E48EB" w:rsidRPr="002F4565">
        <w:rPr>
          <w:lang w:val="pt-BR"/>
        </w:rPr>
        <w:t>podem</w:t>
      </w:r>
      <w:r w:rsidRPr="002F4565">
        <w:rPr>
          <w:lang w:val="pt-BR"/>
        </w:rPr>
        <w:t xml:space="preserve"> subvert</w:t>
      </w:r>
      <w:r w:rsidR="00BA446D" w:rsidRPr="002F4565">
        <w:rPr>
          <w:lang w:val="pt-BR"/>
        </w:rPr>
        <w:t>er</w:t>
      </w:r>
      <w:r w:rsidRPr="002F4565">
        <w:rPr>
          <w:lang w:val="pt-BR"/>
        </w:rPr>
        <w:t xml:space="preserve"> </w:t>
      </w:r>
      <w:r w:rsidR="00BA446D" w:rsidRPr="002F4565">
        <w:rPr>
          <w:lang w:val="pt-BR"/>
        </w:rPr>
        <w:t xml:space="preserve">as </w:t>
      </w:r>
      <w:r w:rsidR="002E1AA7" w:rsidRPr="002F4565">
        <w:rPr>
          <w:lang w:val="pt-BR"/>
        </w:rPr>
        <w:t>diretrizes</w:t>
      </w:r>
      <w:r w:rsidRPr="002F4565">
        <w:rPr>
          <w:lang w:val="pt-BR"/>
        </w:rPr>
        <w:t xml:space="preserve"> </w:t>
      </w:r>
      <w:r w:rsidR="00BA446D" w:rsidRPr="002F4565">
        <w:rPr>
          <w:lang w:val="pt-BR"/>
        </w:rPr>
        <w:t xml:space="preserve">existentes acordadas internacionalmente </w:t>
      </w:r>
      <w:r w:rsidR="0049090C" w:rsidRPr="002F4565">
        <w:rPr>
          <w:lang w:val="pt-BR"/>
        </w:rPr>
        <w:t>e</w:t>
      </w:r>
      <w:r w:rsidRPr="002F4565">
        <w:rPr>
          <w:lang w:val="pt-BR"/>
        </w:rPr>
        <w:t xml:space="preserve"> </w:t>
      </w:r>
      <w:r w:rsidR="00BA446D" w:rsidRPr="002F4565">
        <w:rPr>
          <w:lang w:val="pt-BR"/>
        </w:rPr>
        <w:t>reduzir barreiras tarifárias e não tarifárias ao comércio</w:t>
      </w:r>
      <w:r w:rsidRPr="002F4565">
        <w:rPr>
          <w:lang w:val="pt-BR"/>
        </w:rPr>
        <w:t xml:space="preserve">, </w:t>
      </w:r>
      <w:r w:rsidR="00BA446D" w:rsidRPr="002F4565">
        <w:rPr>
          <w:lang w:val="pt-BR"/>
        </w:rPr>
        <w:t xml:space="preserve">permitindo a </w:t>
      </w:r>
      <w:r w:rsidRPr="002F4565">
        <w:rPr>
          <w:lang w:val="pt-BR"/>
        </w:rPr>
        <w:t>import</w:t>
      </w:r>
      <w:r w:rsidR="00BA446D" w:rsidRPr="002F4565">
        <w:rPr>
          <w:lang w:val="pt-BR"/>
        </w:rPr>
        <w:t>ação</w:t>
      </w:r>
      <w:r w:rsidRPr="002F4565">
        <w:rPr>
          <w:lang w:val="pt-BR"/>
        </w:rPr>
        <w:t xml:space="preserve"> </w:t>
      </w:r>
      <w:r w:rsidR="0049090C" w:rsidRPr="002F4565">
        <w:rPr>
          <w:lang w:val="pt-BR"/>
        </w:rPr>
        <w:t>e</w:t>
      </w:r>
      <w:r w:rsidRPr="002F4565">
        <w:rPr>
          <w:lang w:val="pt-BR"/>
        </w:rPr>
        <w:t xml:space="preserve"> export</w:t>
      </w:r>
      <w:r w:rsidR="00BA446D" w:rsidRPr="002F4565">
        <w:rPr>
          <w:lang w:val="pt-BR"/>
        </w:rPr>
        <w:t xml:space="preserve">ação mais livre </w:t>
      </w:r>
      <w:r w:rsidR="0049090C" w:rsidRPr="002F4565">
        <w:rPr>
          <w:lang w:val="pt-BR"/>
        </w:rPr>
        <w:t>de</w:t>
      </w:r>
      <w:r w:rsidRPr="002F4565">
        <w:rPr>
          <w:lang w:val="pt-BR"/>
        </w:rPr>
        <w:t xml:space="preserve"> </w:t>
      </w:r>
      <w:r w:rsidR="00072E1E" w:rsidRPr="002F4565">
        <w:rPr>
          <w:lang w:val="pt-BR"/>
        </w:rPr>
        <w:t>produtos alimentícios</w:t>
      </w:r>
      <w:r w:rsidR="00BA446D" w:rsidRPr="002F4565">
        <w:rPr>
          <w:lang w:val="pt-BR"/>
        </w:rPr>
        <w:t xml:space="preserve"> não saudáveis</w:t>
      </w:r>
      <w:r w:rsidRPr="002F4565">
        <w:rPr>
          <w:lang w:val="pt-BR"/>
        </w:rPr>
        <w:t xml:space="preserve">. </w:t>
      </w:r>
      <w:r w:rsidR="00624BDC" w:rsidRPr="002F4565">
        <w:rPr>
          <w:lang w:val="pt-BR"/>
        </w:rPr>
        <w:t>Por exemplo</w:t>
      </w:r>
      <w:r w:rsidRPr="002F4565">
        <w:rPr>
          <w:lang w:val="pt-BR"/>
        </w:rPr>
        <w:t xml:space="preserve">, </w:t>
      </w:r>
      <w:r w:rsidR="00EA5149" w:rsidRPr="002F4565">
        <w:rPr>
          <w:lang w:val="pt-BR"/>
        </w:rPr>
        <w:t xml:space="preserve">os acordos de livre </w:t>
      </w:r>
      <w:r w:rsidR="00BA446D" w:rsidRPr="002F4565">
        <w:rPr>
          <w:lang w:val="pt-BR"/>
        </w:rPr>
        <w:t>comércio</w:t>
      </w:r>
      <w:r w:rsidRPr="002F4565">
        <w:rPr>
          <w:lang w:val="pt-BR"/>
        </w:rPr>
        <w:t xml:space="preserve"> </w:t>
      </w:r>
      <w:r w:rsidR="00EA5149" w:rsidRPr="002F4565">
        <w:rPr>
          <w:lang w:val="pt-BR"/>
        </w:rPr>
        <w:t xml:space="preserve">estão diretamente vinculados </w:t>
      </w:r>
      <w:r w:rsidR="007245D6" w:rsidRPr="002F4565">
        <w:rPr>
          <w:lang w:val="pt-BR"/>
        </w:rPr>
        <w:t>a</w:t>
      </w:r>
      <w:r w:rsidR="00EA5149" w:rsidRPr="002F4565">
        <w:rPr>
          <w:lang w:val="pt-BR"/>
        </w:rPr>
        <w:t xml:space="preserve">o aumento do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proofErr w:type="gramStart"/>
      <w:r w:rsidR="007D3BE3" w:rsidRPr="002F4565">
        <w:rPr>
          <w:lang w:val="pt-BR"/>
        </w:rPr>
        <w:t>refrigerantes</w:t>
      </w:r>
      <w:r w:rsidRPr="002F4565">
        <w:rPr>
          <w:lang w:val="pt-BR"/>
        </w:rPr>
        <w:t>.</w:t>
      </w:r>
      <w:proofErr w:type="gramEnd"/>
      <w:r w:rsidRPr="002F4565">
        <w:rPr>
          <w:vertAlign w:val="superscript"/>
          <w:lang w:val="pt-BR"/>
        </w:rPr>
        <w:t>83</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lastRenderedPageBreak/>
        <w:t xml:space="preserve">58. </w:t>
      </w:r>
      <w:r w:rsidR="00EA5149" w:rsidRPr="002F4565">
        <w:rPr>
          <w:lang w:val="pt-BR"/>
        </w:rPr>
        <w:t>Os contratos de i</w:t>
      </w:r>
      <w:r w:rsidR="00182B8E" w:rsidRPr="002F4565">
        <w:rPr>
          <w:lang w:val="pt-BR"/>
        </w:rPr>
        <w:t>nvestimento</w:t>
      </w:r>
      <w:r w:rsidR="00EA5149" w:rsidRPr="002F4565">
        <w:rPr>
          <w:lang w:val="pt-BR"/>
        </w:rPr>
        <w:t>s</w:t>
      </w:r>
      <w:r w:rsidRPr="002F4565">
        <w:rPr>
          <w:lang w:val="pt-BR"/>
        </w:rPr>
        <w:t xml:space="preserve"> </w:t>
      </w:r>
      <w:r w:rsidR="000E48EB" w:rsidRPr="002F4565">
        <w:rPr>
          <w:lang w:val="pt-BR"/>
        </w:rPr>
        <w:t>podem</w:t>
      </w:r>
      <w:r w:rsidRPr="002F4565">
        <w:rPr>
          <w:lang w:val="pt-BR"/>
        </w:rPr>
        <w:t xml:space="preserve"> </w:t>
      </w:r>
      <w:r w:rsidR="00F21F55" w:rsidRPr="002F4565">
        <w:rPr>
          <w:lang w:val="pt-BR"/>
        </w:rPr>
        <w:t>também</w:t>
      </w:r>
      <w:r w:rsidRPr="002F4565">
        <w:rPr>
          <w:lang w:val="pt-BR"/>
        </w:rPr>
        <w:t xml:space="preserve"> cont</w:t>
      </w:r>
      <w:r w:rsidR="00EA5149" w:rsidRPr="002F4565">
        <w:rPr>
          <w:lang w:val="pt-BR"/>
        </w:rPr>
        <w:t>er disposições</w:t>
      </w:r>
      <w:r w:rsidRPr="002F4565">
        <w:rPr>
          <w:lang w:val="pt-BR"/>
        </w:rPr>
        <w:t xml:space="preserve"> </w:t>
      </w:r>
      <w:r w:rsidR="006A31E1" w:rsidRPr="002F4565">
        <w:rPr>
          <w:lang w:val="pt-BR"/>
        </w:rPr>
        <w:t>que</w:t>
      </w:r>
      <w:r w:rsidRPr="002F4565">
        <w:rPr>
          <w:lang w:val="pt-BR"/>
        </w:rPr>
        <w:t xml:space="preserve"> </w:t>
      </w:r>
      <w:r w:rsidR="00EA5149" w:rsidRPr="002F4565">
        <w:rPr>
          <w:lang w:val="pt-BR"/>
        </w:rPr>
        <w:t xml:space="preserve">permitem aos </w:t>
      </w:r>
      <w:r w:rsidR="00BA446D" w:rsidRPr="002F4565">
        <w:rPr>
          <w:lang w:val="pt-BR"/>
        </w:rPr>
        <w:t>Estados</w:t>
      </w:r>
      <w:r w:rsidRPr="002F4565">
        <w:rPr>
          <w:lang w:val="pt-BR"/>
        </w:rPr>
        <w:t xml:space="preserve"> </w:t>
      </w:r>
      <w:r w:rsidR="00EA5149" w:rsidRPr="002F4565">
        <w:rPr>
          <w:lang w:val="pt-BR"/>
        </w:rPr>
        <w:t xml:space="preserve">ser processados por tomar medidas para </w:t>
      </w:r>
      <w:r w:rsidR="00624BDC" w:rsidRPr="002F4565">
        <w:rPr>
          <w:lang w:val="pt-BR"/>
        </w:rPr>
        <w:t>proteger</w:t>
      </w:r>
      <w:r w:rsidRPr="002F4565">
        <w:rPr>
          <w:lang w:val="pt-BR"/>
        </w:rPr>
        <w:t xml:space="preserve"> </w:t>
      </w:r>
      <w:r w:rsidR="00EA5149" w:rsidRPr="002F4565">
        <w:rPr>
          <w:lang w:val="pt-BR"/>
        </w:rPr>
        <w:t xml:space="preserve">a </w:t>
      </w:r>
      <w:r w:rsidR="00C47496" w:rsidRPr="002F4565">
        <w:rPr>
          <w:lang w:val="pt-BR"/>
        </w:rPr>
        <w:t>saúde pública</w:t>
      </w:r>
      <w:r w:rsidRPr="002F4565">
        <w:rPr>
          <w:lang w:val="pt-BR"/>
        </w:rPr>
        <w:t xml:space="preserve"> </w:t>
      </w:r>
      <w:r w:rsidR="006A31E1" w:rsidRPr="002F4565">
        <w:rPr>
          <w:lang w:val="pt-BR"/>
        </w:rPr>
        <w:t>que</w:t>
      </w:r>
      <w:r w:rsidRPr="002F4565">
        <w:rPr>
          <w:lang w:val="pt-BR"/>
        </w:rPr>
        <w:t xml:space="preserve"> </w:t>
      </w:r>
      <w:r w:rsidR="000E48EB" w:rsidRPr="002F4565">
        <w:rPr>
          <w:lang w:val="pt-BR"/>
        </w:rPr>
        <w:t>podem</w:t>
      </w:r>
      <w:r w:rsidRPr="002F4565">
        <w:rPr>
          <w:lang w:val="pt-BR"/>
        </w:rPr>
        <w:t xml:space="preserve"> </w:t>
      </w:r>
      <w:r w:rsidR="00EA5149" w:rsidRPr="002F4565">
        <w:rPr>
          <w:lang w:val="pt-BR"/>
        </w:rPr>
        <w:t xml:space="preserve">prejudicar os </w:t>
      </w:r>
      <w:r w:rsidR="00182B8E" w:rsidRPr="002F4565">
        <w:rPr>
          <w:lang w:val="pt-BR"/>
        </w:rPr>
        <w:t>investimento</w:t>
      </w:r>
      <w:r w:rsidRPr="002F4565">
        <w:rPr>
          <w:lang w:val="pt-BR"/>
        </w:rPr>
        <w:t xml:space="preserve">s </w:t>
      </w:r>
      <w:r w:rsidR="00EA5149" w:rsidRPr="002F4565">
        <w:rPr>
          <w:lang w:val="pt-BR"/>
        </w:rPr>
        <w:t xml:space="preserve">da parte contratante </w:t>
      </w:r>
      <w:r w:rsidR="0049090C" w:rsidRPr="002F4565">
        <w:rPr>
          <w:lang w:val="pt-BR"/>
        </w:rPr>
        <w:t>e</w:t>
      </w:r>
      <w:r w:rsidRPr="002F4565">
        <w:rPr>
          <w:lang w:val="pt-BR"/>
        </w:rPr>
        <w:t xml:space="preserve"> </w:t>
      </w:r>
      <w:r w:rsidR="00624BDC" w:rsidRPr="002F4565">
        <w:rPr>
          <w:lang w:val="pt-BR"/>
        </w:rPr>
        <w:t>companhias</w:t>
      </w:r>
      <w:r w:rsidR="00EA5149" w:rsidRPr="002F4565">
        <w:rPr>
          <w:lang w:val="pt-BR"/>
        </w:rPr>
        <w:t xml:space="preserve"> privadas</w:t>
      </w:r>
      <w:r w:rsidRPr="002F4565">
        <w:rPr>
          <w:lang w:val="pt-BR"/>
        </w:rPr>
        <w:t xml:space="preserve">. </w:t>
      </w:r>
      <w:r w:rsidR="00EA5149" w:rsidRPr="002F4565">
        <w:rPr>
          <w:lang w:val="pt-BR"/>
        </w:rPr>
        <w:t xml:space="preserve">A mera ameaça </w:t>
      </w:r>
      <w:r w:rsidR="0049090C" w:rsidRPr="002F4565">
        <w:rPr>
          <w:lang w:val="pt-BR"/>
        </w:rPr>
        <w:t>de</w:t>
      </w:r>
      <w:r w:rsidRPr="002F4565">
        <w:rPr>
          <w:lang w:val="pt-BR"/>
        </w:rPr>
        <w:t xml:space="preserve"> </w:t>
      </w:r>
      <w:r w:rsidR="00EA5149" w:rsidRPr="002F4565">
        <w:rPr>
          <w:lang w:val="pt-BR"/>
        </w:rPr>
        <w:t xml:space="preserve">litígios onerosos </w:t>
      </w:r>
      <w:r w:rsidR="0049090C" w:rsidRPr="002F4565">
        <w:rPr>
          <w:lang w:val="pt-BR"/>
        </w:rPr>
        <w:t>e</w:t>
      </w:r>
      <w:r w:rsidRPr="002F4565">
        <w:rPr>
          <w:lang w:val="pt-BR"/>
        </w:rPr>
        <w:t xml:space="preserve"> </w:t>
      </w:r>
      <w:r w:rsidR="00EA5149" w:rsidRPr="002F4565">
        <w:rPr>
          <w:lang w:val="pt-BR"/>
        </w:rPr>
        <w:t xml:space="preserve">caros </w:t>
      </w:r>
      <w:r w:rsidR="000E48EB" w:rsidRPr="002F4565">
        <w:rPr>
          <w:lang w:val="pt-BR"/>
        </w:rPr>
        <w:t>pode</w:t>
      </w:r>
      <w:r w:rsidRPr="002F4565">
        <w:rPr>
          <w:lang w:val="pt-BR"/>
        </w:rPr>
        <w:t xml:space="preserve"> cr</w:t>
      </w:r>
      <w:r w:rsidR="00EA5149" w:rsidRPr="002F4565">
        <w:rPr>
          <w:lang w:val="pt-BR"/>
        </w:rPr>
        <w:t xml:space="preserve">iar um efeito inibidor em que </w:t>
      </w:r>
      <w:r w:rsidR="00BA446D" w:rsidRPr="002F4565">
        <w:rPr>
          <w:lang w:val="pt-BR"/>
        </w:rPr>
        <w:t>os Estados</w:t>
      </w:r>
      <w:r w:rsidRPr="002F4565">
        <w:rPr>
          <w:lang w:val="pt-BR"/>
        </w:rPr>
        <w:t xml:space="preserve"> </w:t>
      </w:r>
      <w:r w:rsidR="00EA5149" w:rsidRPr="002F4565">
        <w:rPr>
          <w:lang w:val="pt-BR"/>
        </w:rPr>
        <w:t xml:space="preserve">se absteriam totalmente de </w:t>
      </w:r>
      <w:r w:rsidRPr="002F4565">
        <w:rPr>
          <w:lang w:val="pt-BR"/>
        </w:rPr>
        <w:t>formula</w:t>
      </w:r>
      <w:r w:rsidR="00EA5149" w:rsidRPr="002F4565">
        <w:rPr>
          <w:lang w:val="pt-BR"/>
        </w:rPr>
        <w:t>r</w:t>
      </w:r>
      <w:r w:rsidRPr="002F4565">
        <w:rPr>
          <w:lang w:val="pt-BR"/>
        </w:rPr>
        <w:t xml:space="preserve"> </w:t>
      </w:r>
      <w:r w:rsidR="00EA5149" w:rsidRPr="002F4565">
        <w:rPr>
          <w:lang w:val="pt-BR"/>
        </w:rPr>
        <w:t xml:space="preserve">tais </w:t>
      </w:r>
      <w:proofErr w:type="gramStart"/>
      <w:r w:rsidR="0049090C" w:rsidRPr="002F4565">
        <w:rPr>
          <w:lang w:val="pt-BR"/>
        </w:rPr>
        <w:t>políticas</w:t>
      </w:r>
      <w:r w:rsidRPr="002F4565">
        <w:rPr>
          <w:lang w:val="pt-BR"/>
        </w:rPr>
        <w:t>.</w:t>
      </w:r>
      <w:proofErr w:type="gramEnd"/>
      <w:r w:rsidRPr="002F4565">
        <w:rPr>
          <w:vertAlign w:val="superscript"/>
          <w:lang w:val="pt-BR"/>
        </w:rPr>
        <w:t>84</w:t>
      </w:r>
      <w:r w:rsidRPr="002F4565">
        <w:rPr>
          <w:lang w:val="pt-BR"/>
        </w:rPr>
        <w:t xml:space="preserve"> </w:t>
      </w:r>
      <w:r w:rsidR="00EA5149" w:rsidRPr="002F4565">
        <w:rPr>
          <w:lang w:val="pt-BR"/>
        </w:rPr>
        <w:t xml:space="preserve">Para reduzir </w:t>
      </w:r>
      <w:r w:rsidR="00261A8A" w:rsidRPr="002F4565">
        <w:rPr>
          <w:lang w:val="pt-BR"/>
        </w:rPr>
        <w:t>o</w:t>
      </w:r>
      <w:r w:rsidRPr="002F4565">
        <w:rPr>
          <w:lang w:val="pt-BR"/>
        </w:rPr>
        <w:t xml:space="preserve"> </w:t>
      </w:r>
      <w:r w:rsidR="00F21F55" w:rsidRPr="002F4565">
        <w:rPr>
          <w:lang w:val="pt-BR"/>
        </w:rPr>
        <w:t>ônus</w:t>
      </w:r>
      <w:r w:rsidRPr="002F4565">
        <w:rPr>
          <w:lang w:val="pt-BR"/>
        </w:rPr>
        <w:t xml:space="preserve"> </w:t>
      </w:r>
      <w:r w:rsidR="00EA5149" w:rsidRPr="002F4565">
        <w:rPr>
          <w:lang w:val="pt-BR"/>
        </w:rPr>
        <w:t xml:space="preserve">global e nacional das </w:t>
      </w:r>
      <w:r w:rsidR="0049090C" w:rsidRPr="002F4565">
        <w:rPr>
          <w:lang w:val="pt-BR"/>
        </w:rPr>
        <w:t>DNT</w:t>
      </w:r>
      <w:r w:rsidRPr="002F4565">
        <w:rPr>
          <w:lang w:val="pt-BR"/>
        </w:rPr>
        <w:t xml:space="preserve">s </w:t>
      </w:r>
      <w:r w:rsidR="0049090C" w:rsidRPr="002F4565">
        <w:rPr>
          <w:lang w:val="pt-BR"/>
        </w:rPr>
        <w:t>e</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EA5149" w:rsidRPr="002F4565">
        <w:rPr>
          <w:lang w:val="pt-BR"/>
        </w:rPr>
        <w:t xml:space="preserve">as preocupações de </w:t>
      </w:r>
      <w:r w:rsidR="0049090C" w:rsidRPr="002F4565">
        <w:rPr>
          <w:lang w:val="pt-BR"/>
        </w:rPr>
        <w:t>saúde</w:t>
      </w:r>
      <w:r w:rsidRPr="002F4565">
        <w:rPr>
          <w:lang w:val="pt-BR"/>
        </w:rPr>
        <w:t xml:space="preserve"> </w:t>
      </w:r>
      <w:r w:rsidR="00EA5149" w:rsidRPr="002F4565">
        <w:rPr>
          <w:lang w:val="pt-BR"/>
        </w:rPr>
        <w:t>sejam mais importantes que as</w:t>
      </w:r>
      <w:r w:rsidRPr="002F4565">
        <w:rPr>
          <w:lang w:val="pt-BR"/>
        </w:rPr>
        <w:t xml:space="preserve"> rel</w:t>
      </w:r>
      <w:r w:rsidR="00F21F55" w:rsidRPr="002F4565">
        <w:rPr>
          <w:lang w:val="pt-BR"/>
        </w:rPr>
        <w:t>ações</w:t>
      </w:r>
      <w:r w:rsidR="00EA5149" w:rsidRPr="002F4565">
        <w:rPr>
          <w:lang w:val="pt-BR"/>
        </w:rPr>
        <w:t xml:space="preserve"> de comércio</w:t>
      </w:r>
      <w:r w:rsidRPr="002F4565">
        <w:rPr>
          <w:lang w:val="pt-BR"/>
        </w:rPr>
        <w:t xml:space="preserve">, </w:t>
      </w:r>
      <w:r w:rsidR="00BA446D" w:rsidRPr="002F4565">
        <w:rPr>
          <w:lang w:val="pt-BR"/>
        </w:rPr>
        <w:t>os Estados</w:t>
      </w:r>
      <w:r w:rsidRPr="002F4565">
        <w:rPr>
          <w:lang w:val="pt-BR"/>
        </w:rPr>
        <w:t xml:space="preserve"> </w:t>
      </w:r>
      <w:r w:rsidR="00EA5149" w:rsidRPr="002F4565">
        <w:rPr>
          <w:lang w:val="pt-BR"/>
        </w:rPr>
        <w:t xml:space="preserve">precisam formar parcerias </w:t>
      </w:r>
      <w:r w:rsidR="007245D6" w:rsidRPr="002F4565">
        <w:rPr>
          <w:lang w:val="pt-BR"/>
        </w:rPr>
        <w:t xml:space="preserve">para </w:t>
      </w:r>
      <w:r w:rsidR="00EA5149" w:rsidRPr="002F4565">
        <w:rPr>
          <w:lang w:val="pt-BR"/>
        </w:rPr>
        <w:t xml:space="preserve">dar suporte a </w:t>
      </w:r>
      <w:r w:rsidR="00802E44" w:rsidRPr="002F4565">
        <w:rPr>
          <w:lang w:val="pt-BR"/>
        </w:rPr>
        <w:t xml:space="preserve">sistemas </w:t>
      </w:r>
      <w:r w:rsidR="00EA5149" w:rsidRPr="002F4565">
        <w:rPr>
          <w:lang w:val="pt-BR"/>
        </w:rPr>
        <w:t xml:space="preserve">localizados e adequados </w:t>
      </w:r>
      <w:r w:rsidR="00802E44" w:rsidRPr="002F4565">
        <w:rPr>
          <w:lang w:val="pt-BR"/>
        </w:rPr>
        <w:t>de alimentos</w:t>
      </w:r>
      <w:r w:rsidRPr="002F4565">
        <w:rPr>
          <w:lang w:val="pt-BR"/>
        </w:rPr>
        <w:t xml:space="preserve"> </w:t>
      </w:r>
      <w:r w:rsidR="0049090C" w:rsidRPr="002F4565">
        <w:rPr>
          <w:lang w:val="pt-BR"/>
        </w:rPr>
        <w:t>e</w:t>
      </w:r>
      <w:r w:rsidRPr="002F4565">
        <w:rPr>
          <w:lang w:val="pt-BR"/>
        </w:rPr>
        <w:t xml:space="preserve"> </w:t>
      </w:r>
      <w:r w:rsidR="00F21F55"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7245D6" w:rsidRPr="002F4565">
        <w:rPr>
          <w:lang w:val="pt-BR"/>
        </w:rPr>
        <w:t xml:space="preserve">seja protegido </w:t>
      </w:r>
      <w:r w:rsidR="00EA5149" w:rsidRPr="002F4565">
        <w:rPr>
          <w:lang w:val="pt-BR"/>
        </w:rPr>
        <w:t xml:space="preserve">o espaço das </w:t>
      </w:r>
      <w:r w:rsidR="00791370" w:rsidRPr="002F4565">
        <w:rPr>
          <w:lang w:val="pt-BR"/>
        </w:rPr>
        <w:t>política</w:t>
      </w:r>
      <w:r w:rsidR="00EA5149" w:rsidRPr="002F4565">
        <w:rPr>
          <w:lang w:val="pt-BR"/>
        </w:rPr>
        <w:t xml:space="preserve">s nacionais nos </w:t>
      </w:r>
      <w:r w:rsidR="00FB4401" w:rsidRPr="002F4565">
        <w:rPr>
          <w:lang w:val="pt-BR"/>
        </w:rPr>
        <w:t>sistema</w:t>
      </w:r>
      <w:r w:rsidRPr="002F4565">
        <w:rPr>
          <w:lang w:val="pt-BR"/>
        </w:rPr>
        <w:t xml:space="preserve">s </w:t>
      </w:r>
      <w:r w:rsidR="00EA5149" w:rsidRPr="002F4565">
        <w:rPr>
          <w:lang w:val="pt-BR"/>
        </w:rPr>
        <w:t>nutricionais</w:t>
      </w:r>
      <w:r w:rsidRPr="002F4565">
        <w:rPr>
          <w:lang w:val="pt-BR"/>
        </w:rPr>
        <w:t>.</w:t>
      </w:r>
      <w:r w:rsidRPr="002F4565">
        <w:rPr>
          <w:vertAlign w:val="superscript"/>
          <w:lang w:val="pt-BR"/>
        </w:rPr>
        <w:t>85</w:t>
      </w:r>
      <w:r w:rsidRPr="002F4565">
        <w:rPr>
          <w:lang w:val="pt-BR"/>
        </w:rPr>
        <w:t xml:space="preserve"> </w:t>
      </w:r>
      <w:r w:rsidR="00EA5149" w:rsidRPr="002F4565">
        <w:rPr>
          <w:lang w:val="pt-BR"/>
        </w:rPr>
        <w:t xml:space="preserve">Ao celebrar contratos de </w:t>
      </w:r>
      <w:r w:rsidR="0049090C" w:rsidRPr="002F4565">
        <w:rPr>
          <w:lang w:val="pt-BR"/>
        </w:rPr>
        <w:t>investimento</w:t>
      </w:r>
      <w:r w:rsidR="00EA5149" w:rsidRPr="002F4565">
        <w:rPr>
          <w:lang w:val="pt-BR"/>
        </w:rPr>
        <w:t>s</w:t>
      </w:r>
      <w:r w:rsidRPr="002F4565">
        <w:rPr>
          <w:lang w:val="pt-BR"/>
        </w:rPr>
        <w:t xml:space="preserve">, </w:t>
      </w:r>
      <w:r w:rsidR="00BA446D" w:rsidRPr="002F4565">
        <w:rPr>
          <w:lang w:val="pt-BR"/>
        </w:rPr>
        <w:t>os Estados</w:t>
      </w:r>
      <w:r w:rsidRPr="002F4565">
        <w:rPr>
          <w:lang w:val="pt-BR"/>
        </w:rPr>
        <w:t xml:space="preserve"> </w:t>
      </w:r>
      <w:r w:rsidR="00EA5149" w:rsidRPr="002F4565">
        <w:rPr>
          <w:lang w:val="pt-BR"/>
        </w:rPr>
        <w:t xml:space="preserve">anfitriões </w:t>
      </w:r>
      <w:r w:rsidR="002E1AA7" w:rsidRPr="002F4565">
        <w:rPr>
          <w:lang w:val="pt-BR"/>
        </w:rPr>
        <w:t>devem</w:t>
      </w:r>
      <w:r w:rsidRPr="002F4565">
        <w:rPr>
          <w:lang w:val="pt-BR"/>
        </w:rPr>
        <w:t xml:space="preserve"> </w:t>
      </w:r>
      <w:r w:rsidR="00EA5149" w:rsidRPr="002F4565">
        <w:rPr>
          <w:lang w:val="pt-BR"/>
        </w:rPr>
        <w:t xml:space="preserve">tomar medidas assertivas </w:t>
      </w:r>
      <w:r w:rsidR="0049090C" w:rsidRPr="002F4565">
        <w:rPr>
          <w:lang w:val="pt-BR"/>
        </w:rPr>
        <w:t>e</w:t>
      </w:r>
      <w:r w:rsidRPr="002F4565">
        <w:rPr>
          <w:lang w:val="pt-BR"/>
        </w:rPr>
        <w:t xml:space="preserve"> men</w:t>
      </w:r>
      <w:r w:rsidR="00EA5149" w:rsidRPr="002F4565">
        <w:rPr>
          <w:lang w:val="pt-BR"/>
        </w:rPr>
        <w:t xml:space="preserve">cionar exceções claras </w:t>
      </w:r>
      <w:r w:rsidR="0049090C" w:rsidRPr="002F4565">
        <w:rPr>
          <w:lang w:val="pt-BR"/>
        </w:rPr>
        <w:t>e</w:t>
      </w:r>
      <w:r w:rsidRPr="002F4565">
        <w:rPr>
          <w:lang w:val="pt-BR"/>
        </w:rPr>
        <w:t xml:space="preserve"> expl</w:t>
      </w:r>
      <w:r w:rsidR="00EA5149" w:rsidRPr="002F4565">
        <w:rPr>
          <w:lang w:val="pt-BR"/>
        </w:rPr>
        <w:t>í</w:t>
      </w:r>
      <w:r w:rsidRPr="002F4565">
        <w:rPr>
          <w:lang w:val="pt-BR"/>
        </w:rPr>
        <w:t>cit</w:t>
      </w:r>
      <w:r w:rsidR="00EA5149" w:rsidRPr="002F4565">
        <w:rPr>
          <w:lang w:val="pt-BR"/>
        </w:rPr>
        <w:t xml:space="preserve">as aos </w:t>
      </w:r>
      <w:r w:rsidR="00182B8E" w:rsidRPr="002F4565">
        <w:rPr>
          <w:lang w:val="pt-BR"/>
        </w:rPr>
        <w:t>investimento</w:t>
      </w:r>
      <w:r w:rsidRPr="002F4565">
        <w:rPr>
          <w:lang w:val="pt-BR"/>
        </w:rPr>
        <w:t xml:space="preserve">s </w:t>
      </w:r>
      <w:r w:rsidR="006A31E1" w:rsidRPr="002F4565">
        <w:rPr>
          <w:lang w:val="pt-BR"/>
        </w:rPr>
        <w:t>que</w:t>
      </w:r>
      <w:r w:rsidRPr="002F4565">
        <w:rPr>
          <w:lang w:val="pt-BR"/>
        </w:rPr>
        <w:t xml:space="preserve"> </w:t>
      </w:r>
      <w:r w:rsidR="000E48EB" w:rsidRPr="002F4565">
        <w:rPr>
          <w:lang w:val="pt-BR"/>
        </w:rPr>
        <w:t>podem</w:t>
      </w:r>
      <w:r w:rsidRPr="002F4565">
        <w:rPr>
          <w:lang w:val="pt-BR"/>
        </w:rPr>
        <w:t xml:space="preserve"> </w:t>
      </w:r>
      <w:r w:rsidR="00EA5149" w:rsidRPr="002F4565">
        <w:rPr>
          <w:lang w:val="pt-BR"/>
        </w:rPr>
        <w:t xml:space="preserve">prejudicar a </w:t>
      </w:r>
      <w:r w:rsidR="00C47496" w:rsidRPr="002F4565">
        <w:rPr>
          <w:lang w:val="pt-BR"/>
        </w:rPr>
        <w:t>saúde pública</w:t>
      </w:r>
      <w:r w:rsidRPr="002F4565">
        <w:rPr>
          <w:lang w:val="pt-BR"/>
        </w:rPr>
        <w:t>.</w:t>
      </w:r>
      <w:r w:rsidRPr="002F4565">
        <w:rPr>
          <w:vertAlign w:val="superscript"/>
          <w:lang w:val="pt-BR"/>
        </w:rPr>
        <w:t>86</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59. </w:t>
      </w:r>
      <w:r w:rsidR="00176DB8" w:rsidRPr="002F4565">
        <w:rPr>
          <w:lang w:val="pt-BR"/>
        </w:rPr>
        <w:t>Além disso</w:t>
      </w:r>
      <w:r w:rsidRPr="002F4565">
        <w:rPr>
          <w:lang w:val="pt-BR"/>
        </w:rPr>
        <w:t xml:space="preserve">, </w:t>
      </w:r>
      <w:r w:rsidR="00BA446D" w:rsidRPr="002F4565">
        <w:rPr>
          <w:lang w:val="pt-BR"/>
        </w:rPr>
        <w:t>os Estados</w:t>
      </w:r>
      <w:r w:rsidRPr="002F4565">
        <w:rPr>
          <w:lang w:val="pt-BR"/>
        </w:rPr>
        <w:t xml:space="preserve"> </w:t>
      </w:r>
      <w:r w:rsidR="002E1AA7" w:rsidRPr="002F4565">
        <w:rPr>
          <w:lang w:val="pt-BR"/>
        </w:rPr>
        <w:t>devem</w:t>
      </w:r>
      <w:r w:rsidRPr="002F4565">
        <w:rPr>
          <w:lang w:val="pt-BR"/>
        </w:rPr>
        <w:t xml:space="preserve"> </w:t>
      </w:r>
      <w:r w:rsidR="00EA5149" w:rsidRPr="002F4565">
        <w:rPr>
          <w:lang w:val="pt-BR"/>
        </w:rPr>
        <w:t xml:space="preserve">ampliar a </w:t>
      </w:r>
      <w:r w:rsidR="00F21F55" w:rsidRPr="002F4565">
        <w:rPr>
          <w:lang w:val="pt-BR"/>
        </w:rPr>
        <w:t>assistência</w:t>
      </w:r>
      <w:r w:rsidRPr="002F4565">
        <w:rPr>
          <w:lang w:val="pt-BR"/>
        </w:rPr>
        <w:t xml:space="preserve"> </w:t>
      </w:r>
      <w:r w:rsidR="00EA5149" w:rsidRPr="002F4565">
        <w:rPr>
          <w:lang w:val="pt-BR"/>
        </w:rPr>
        <w:t xml:space="preserve">aos </w:t>
      </w:r>
      <w:r w:rsidR="003F41C2" w:rsidRPr="002F4565">
        <w:rPr>
          <w:lang w:val="pt-BR"/>
        </w:rPr>
        <w:t>países de baixa renda e renda média</w:t>
      </w:r>
      <w:r w:rsidRPr="002F4565">
        <w:rPr>
          <w:lang w:val="pt-BR"/>
        </w:rPr>
        <w:t xml:space="preserve">, </w:t>
      </w:r>
      <w:r w:rsidR="00EA5149" w:rsidRPr="002F4565">
        <w:rPr>
          <w:lang w:val="pt-BR"/>
        </w:rPr>
        <w:t>que</w:t>
      </w:r>
      <w:r w:rsidRPr="002F4565">
        <w:rPr>
          <w:lang w:val="pt-BR"/>
        </w:rPr>
        <w:t xml:space="preserve">, </w:t>
      </w:r>
      <w:r w:rsidR="00EA5149" w:rsidRPr="002F4565">
        <w:rPr>
          <w:lang w:val="pt-BR"/>
        </w:rPr>
        <w:t>devido a recursos limitados</w:t>
      </w:r>
      <w:r w:rsidRPr="002F4565">
        <w:rPr>
          <w:lang w:val="pt-BR"/>
        </w:rPr>
        <w:t xml:space="preserve">, </w:t>
      </w:r>
      <w:r w:rsidR="00EA5149" w:rsidRPr="002F4565">
        <w:rPr>
          <w:lang w:val="pt-BR"/>
        </w:rPr>
        <w:t xml:space="preserve">talvez sejam incapazes de atingir os padrões de </w:t>
      </w:r>
      <w:r w:rsidR="003F41C2" w:rsidRPr="002F4565">
        <w:rPr>
          <w:lang w:val="pt-BR"/>
        </w:rPr>
        <w:t>nutrição</w:t>
      </w:r>
      <w:r w:rsidRPr="002F4565">
        <w:rPr>
          <w:lang w:val="pt-BR"/>
        </w:rPr>
        <w:t xml:space="preserve"> </w:t>
      </w:r>
      <w:r w:rsidR="00EA5149" w:rsidRPr="002F4565">
        <w:rPr>
          <w:lang w:val="pt-BR"/>
        </w:rPr>
        <w:t>exigidos</w:t>
      </w:r>
      <w:r w:rsidRPr="002F4565">
        <w:rPr>
          <w:lang w:val="pt-BR"/>
        </w:rPr>
        <w:t xml:space="preserve">, </w:t>
      </w:r>
      <w:r w:rsidR="00EA5149" w:rsidRPr="002F4565">
        <w:rPr>
          <w:lang w:val="pt-BR"/>
        </w:rPr>
        <w:t xml:space="preserve">levando ao aumento do </w:t>
      </w:r>
      <w:r w:rsidR="00F21F55" w:rsidRPr="002F4565">
        <w:rPr>
          <w:lang w:val="pt-BR"/>
        </w:rPr>
        <w:t>ônus</w:t>
      </w:r>
      <w:r w:rsidRPr="002F4565">
        <w:rPr>
          <w:lang w:val="pt-BR"/>
        </w:rPr>
        <w:t xml:space="preserve"> </w:t>
      </w:r>
      <w:r w:rsidR="0049090C" w:rsidRPr="002F4565">
        <w:rPr>
          <w:lang w:val="pt-BR"/>
        </w:rPr>
        <w:t>d</w:t>
      </w:r>
      <w:r w:rsidR="00EA5149" w:rsidRPr="002F4565">
        <w:rPr>
          <w:lang w:val="pt-BR"/>
        </w:rPr>
        <w:t>as</w:t>
      </w:r>
      <w:r w:rsidRPr="002F4565">
        <w:rPr>
          <w:lang w:val="pt-BR"/>
        </w:rPr>
        <w:t xml:space="preserve"> </w:t>
      </w:r>
      <w:proofErr w:type="gramStart"/>
      <w:r w:rsidR="0049090C" w:rsidRPr="002F4565">
        <w:rPr>
          <w:lang w:val="pt-BR"/>
        </w:rPr>
        <w:t>DNT</w:t>
      </w:r>
      <w:r w:rsidRPr="002F4565">
        <w:rPr>
          <w:lang w:val="pt-BR"/>
        </w:rPr>
        <w:t>s.</w:t>
      </w:r>
      <w:proofErr w:type="gramEnd"/>
      <w:r w:rsidRPr="002F4565">
        <w:rPr>
          <w:vertAlign w:val="superscript"/>
          <w:lang w:val="pt-BR"/>
        </w:rPr>
        <w:t>87</w:t>
      </w:r>
      <w:r w:rsidRPr="002F4565">
        <w:rPr>
          <w:lang w:val="pt-BR"/>
        </w:rPr>
        <w:t xml:space="preserve"> </w:t>
      </w:r>
      <w:r w:rsidR="00EA5149" w:rsidRPr="002F4565">
        <w:rPr>
          <w:lang w:val="pt-BR"/>
        </w:rPr>
        <w:t>Nestes casos</w:t>
      </w:r>
      <w:r w:rsidRPr="002F4565">
        <w:rPr>
          <w:lang w:val="pt-BR"/>
        </w:rPr>
        <w:t xml:space="preserve">, </w:t>
      </w:r>
      <w:r w:rsidR="00BA446D" w:rsidRPr="002F4565">
        <w:rPr>
          <w:lang w:val="pt-BR"/>
        </w:rPr>
        <w:t>os Estados</w:t>
      </w:r>
      <w:r w:rsidRPr="002F4565">
        <w:rPr>
          <w:lang w:val="pt-BR"/>
        </w:rPr>
        <w:t xml:space="preserve"> </w:t>
      </w:r>
      <w:r w:rsidR="002E1AA7" w:rsidRPr="002F4565">
        <w:rPr>
          <w:lang w:val="pt-BR"/>
        </w:rPr>
        <w:t>devem</w:t>
      </w:r>
      <w:r w:rsidRPr="002F4565">
        <w:rPr>
          <w:lang w:val="pt-BR"/>
        </w:rPr>
        <w:t xml:space="preserve"> </w:t>
      </w:r>
      <w:r w:rsidR="00EA5149" w:rsidRPr="002F4565">
        <w:rPr>
          <w:lang w:val="pt-BR"/>
        </w:rPr>
        <w:t xml:space="preserve">ampliar a </w:t>
      </w:r>
      <w:r w:rsidR="00F21F55" w:rsidRPr="002F4565">
        <w:rPr>
          <w:lang w:val="pt-BR"/>
        </w:rPr>
        <w:t>assistência</w:t>
      </w:r>
      <w:r w:rsidRPr="002F4565">
        <w:rPr>
          <w:lang w:val="pt-BR"/>
        </w:rPr>
        <w:t xml:space="preserve"> </w:t>
      </w:r>
      <w:r w:rsidR="00EA5149" w:rsidRPr="002F4565">
        <w:rPr>
          <w:lang w:val="pt-BR"/>
        </w:rPr>
        <w:t xml:space="preserve">por meio da transferência de </w:t>
      </w:r>
      <w:r w:rsidR="00FB4DE4" w:rsidRPr="002F4565">
        <w:rPr>
          <w:lang w:val="pt-BR"/>
        </w:rPr>
        <w:t>tecno</w:t>
      </w:r>
      <w:r w:rsidRPr="002F4565">
        <w:rPr>
          <w:lang w:val="pt-BR"/>
        </w:rPr>
        <w:t>l</w:t>
      </w:r>
      <w:r w:rsidR="00FB4DE4" w:rsidRPr="002F4565">
        <w:rPr>
          <w:lang w:val="pt-BR"/>
        </w:rPr>
        <w:t>ogia</w:t>
      </w:r>
      <w:r w:rsidRPr="002F4565">
        <w:rPr>
          <w:lang w:val="pt-BR"/>
        </w:rPr>
        <w:t xml:space="preserve">, </w:t>
      </w:r>
      <w:r w:rsidR="00EA5149" w:rsidRPr="002F4565">
        <w:rPr>
          <w:lang w:val="pt-BR"/>
        </w:rPr>
        <w:t xml:space="preserve">desenvolvimento de capacidade </w:t>
      </w:r>
      <w:r w:rsidR="0049090C" w:rsidRPr="002F4565">
        <w:rPr>
          <w:lang w:val="pt-BR"/>
        </w:rPr>
        <w:t>e</w:t>
      </w:r>
      <w:r w:rsidRPr="002F4565">
        <w:rPr>
          <w:lang w:val="pt-BR"/>
        </w:rPr>
        <w:t xml:space="preserve">, </w:t>
      </w:r>
      <w:r w:rsidR="00EA5149" w:rsidRPr="002F4565">
        <w:rPr>
          <w:lang w:val="pt-BR"/>
        </w:rPr>
        <w:t xml:space="preserve">quando </w:t>
      </w:r>
      <w:r w:rsidRPr="002F4565">
        <w:rPr>
          <w:lang w:val="pt-BR"/>
        </w:rPr>
        <w:t>nece</w:t>
      </w:r>
      <w:r w:rsidR="00C47496" w:rsidRPr="002F4565">
        <w:rPr>
          <w:lang w:val="pt-BR"/>
        </w:rPr>
        <w:t>ssário</w:t>
      </w:r>
      <w:r w:rsidRPr="002F4565">
        <w:rPr>
          <w:lang w:val="pt-BR"/>
        </w:rPr>
        <w:t xml:space="preserve">, </w:t>
      </w:r>
      <w:r w:rsidR="008D4E33" w:rsidRPr="002F4565">
        <w:rPr>
          <w:lang w:val="pt-BR"/>
        </w:rPr>
        <w:t xml:space="preserve">oferecer apoio </w:t>
      </w:r>
      <w:r w:rsidRPr="002F4565">
        <w:rPr>
          <w:lang w:val="pt-BR"/>
        </w:rPr>
        <w:t>monet</w:t>
      </w:r>
      <w:r w:rsidR="008D4E33" w:rsidRPr="002F4565">
        <w:rPr>
          <w:lang w:val="pt-BR"/>
        </w:rPr>
        <w:t xml:space="preserve">ário </w:t>
      </w:r>
      <w:r w:rsidRPr="002F4565">
        <w:rPr>
          <w:lang w:val="pt-BR"/>
        </w:rPr>
        <w:t xml:space="preserve">(A/RES/66/2). </w:t>
      </w:r>
      <w:r w:rsidR="008D4E33" w:rsidRPr="002F4565">
        <w:rPr>
          <w:lang w:val="pt-BR"/>
        </w:rPr>
        <w:t xml:space="preserve">Isto ajuda a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BA446D" w:rsidRPr="002F4565">
        <w:rPr>
          <w:lang w:val="pt-BR"/>
        </w:rPr>
        <w:t>os Estados</w:t>
      </w:r>
      <w:r w:rsidRPr="002F4565">
        <w:rPr>
          <w:lang w:val="pt-BR"/>
        </w:rPr>
        <w:t xml:space="preserve"> </w:t>
      </w:r>
      <w:r w:rsidR="007245D6" w:rsidRPr="002F4565">
        <w:rPr>
          <w:lang w:val="pt-BR"/>
        </w:rPr>
        <w:t xml:space="preserve">sem </w:t>
      </w:r>
      <w:r w:rsidRPr="002F4565">
        <w:rPr>
          <w:lang w:val="pt-BR"/>
        </w:rPr>
        <w:t xml:space="preserve">expertise </w:t>
      </w:r>
      <w:r w:rsidR="008D4E33" w:rsidRPr="002F4565">
        <w:rPr>
          <w:lang w:val="pt-BR"/>
        </w:rPr>
        <w:t xml:space="preserve">suficiente para desenvolver </w:t>
      </w:r>
      <w:r w:rsidR="0049090C" w:rsidRPr="002F4565">
        <w:rPr>
          <w:lang w:val="pt-BR"/>
        </w:rPr>
        <w:t>e</w:t>
      </w:r>
      <w:r w:rsidRPr="002F4565">
        <w:rPr>
          <w:lang w:val="pt-BR"/>
        </w:rPr>
        <w:t xml:space="preserve"> sust</w:t>
      </w:r>
      <w:r w:rsidR="008D4E33" w:rsidRPr="002F4565">
        <w:rPr>
          <w:lang w:val="pt-BR"/>
        </w:rPr>
        <w:t xml:space="preserve">entar a </w:t>
      </w:r>
      <w:r w:rsidR="00FB4DE4" w:rsidRPr="002F4565">
        <w:rPr>
          <w:lang w:val="pt-BR"/>
        </w:rPr>
        <w:t>tecno</w:t>
      </w:r>
      <w:r w:rsidRPr="002F4565">
        <w:rPr>
          <w:lang w:val="pt-BR"/>
        </w:rPr>
        <w:t>l</w:t>
      </w:r>
      <w:r w:rsidR="00FB4DE4" w:rsidRPr="002F4565">
        <w:rPr>
          <w:lang w:val="pt-BR"/>
        </w:rPr>
        <w:t>ogia</w:t>
      </w:r>
      <w:r w:rsidRPr="002F4565">
        <w:rPr>
          <w:lang w:val="pt-BR"/>
        </w:rPr>
        <w:t xml:space="preserve"> </w:t>
      </w:r>
      <w:r w:rsidR="008D4E33" w:rsidRPr="002F4565">
        <w:rPr>
          <w:lang w:val="pt-BR"/>
        </w:rPr>
        <w:t xml:space="preserve">exigida tomem medidas </w:t>
      </w:r>
      <w:r w:rsidRPr="002F4565">
        <w:rPr>
          <w:lang w:val="pt-BR"/>
        </w:rPr>
        <w:t>preventiv</w:t>
      </w:r>
      <w:r w:rsidR="008D4E33" w:rsidRPr="002F4565">
        <w:rPr>
          <w:lang w:val="pt-BR"/>
        </w:rPr>
        <w:t>as</w:t>
      </w:r>
      <w:r w:rsidRPr="002F4565">
        <w:rPr>
          <w:lang w:val="pt-BR"/>
        </w:rPr>
        <w:t xml:space="preserve"> </w:t>
      </w:r>
      <w:r w:rsidR="008D4E33" w:rsidRPr="002F4565">
        <w:rPr>
          <w:lang w:val="pt-BR"/>
        </w:rPr>
        <w:t xml:space="preserve">contra </w:t>
      </w:r>
      <w:r w:rsidR="007245D6" w:rsidRPr="002F4565">
        <w:rPr>
          <w:lang w:val="pt-BR"/>
        </w:rPr>
        <w:t xml:space="preserve">as </w:t>
      </w:r>
      <w:r w:rsidR="0049090C" w:rsidRPr="002F4565">
        <w:rPr>
          <w:lang w:val="pt-BR"/>
        </w:rPr>
        <w:t>DNT</w:t>
      </w:r>
      <w:r w:rsidRPr="002F4565">
        <w:rPr>
          <w:lang w:val="pt-BR"/>
        </w:rPr>
        <w:t>s.</w:t>
      </w:r>
    </w:p>
    <w:p w:rsidR="008A607B" w:rsidRPr="002F4565" w:rsidRDefault="00115B91" w:rsidP="0051636A">
      <w:pPr>
        <w:spacing w:before="120" w:after="0" w:line="240" w:lineRule="auto"/>
        <w:rPr>
          <w:lang w:val="pt-BR"/>
        </w:rPr>
      </w:pPr>
      <w:r w:rsidRPr="002F4565">
        <w:rPr>
          <w:lang w:val="pt-BR"/>
        </w:rPr>
        <w:t xml:space="preserve">60. </w:t>
      </w:r>
      <w:r w:rsidR="007245D6" w:rsidRPr="002F4565">
        <w:rPr>
          <w:lang w:val="pt-BR"/>
        </w:rPr>
        <w:t>Até o momento, o</w:t>
      </w:r>
      <w:r w:rsidR="008D4E33" w:rsidRPr="002F4565">
        <w:rPr>
          <w:lang w:val="pt-BR"/>
        </w:rPr>
        <w:t xml:space="preserve"> compromisso político em relação às </w:t>
      </w:r>
      <w:r w:rsidR="0049090C" w:rsidRPr="002F4565">
        <w:rPr>
          <w:lang w:val="pt-BR"/>
        </w:rPr>
        <w:t>DNTs relacionadas com a dieta</w:t>
      </w:r>
      <w:r w:rsidRPr="002F4565">
        <w:rPr>
          <w:lang w:val="pt-BR"/>
        </w:rPr>
        <w:t xml:space="preserve"> </w:t>
      </w:r>
      <w:r w:rsidR="008D4E33" w:rsidRPr="002F4565">
        <w:rPr>
          <w:lang w:val="pt-BR"/>
        </w:rPr>
        <w:t xml:space="preserve">em nível </w:t>
      </w:r>
      <w:r w:rsidR="00F21F55" w:rsidRPr="002F4565">
        <w:rPr>
          <w:lang w:val="pt-BR"/>
        </w:rPr>
        <w:t>internacional</w:t>
      </w:r>
      <w:r w:rsidRPr="002F4565">
        <w:rPr>
          <w:lang w:val="pt-BR"/>
        </w:rPr>
        <w:t xml:space="preserve"> </w:t>
      </w:r>
      <w:r w:rsidR="008D4E33" w:rsidRPr="002F4565">
        <w:rPr>
          <w:lang w:val="pt-BR"/>
        </w:rPr>
        <w:t>é fraco</w:t>
      </w:r>
      <w:r w:rsidRPr="002F4565">
        <w:rPr>
          <w:lang w:val="pt-BR"/>
        </w:rPr>
        <w:t xml:space="preserve">. </w:t>
      </w:r>
      <w:r w:rsidR="007245D6" w:rsidRPr="002F4565">
        <w:rPr>
          <w:lang w:val="pt-BR"/>
        </w:rPr>
        <w:t>T</w:t>
      </w:r>
      <w:r w:rsidR="008D4E33" w:rsidRPr="002F4565">
        <w:rPr>
          <w:lang w:val="pt-BR"/>
        </w:rPr>
        <w:t xml:space="preserve">radicionalmente </w:t>
      </w:r>
      <w:r w:rsidR="007245D6" w:rsidRPr="002F4565">
        <w:rPr>
          <w:lang w:val="pt-BR"/>
        </w:rPr>
        <w:t xml:space="preserve">as DNTs </w:t>
      </w:r>
      <w:r w:rsidR="008D4E33" w:rsidRPr="002F4565">
        <w:rPr>
          <w:lang w:val="pt-BR"/>
        </w:rPr>
        <w:t xml:space="preserve">não </w:t>
      </w:r>
      <w:r w:rsidR="007245D6" w:rsidRPr="002F4565">
        <w:rPr>
          <w:lang w:val="pt-BR"/>
        </w:rPr>
        <w:t xml:space="preserve">são prioritárias </w:t>
      </w:r>
      <w:r w:rsidR="008D4E33" w:rsidRPr="002F4565">
        <w:rPr>
          <w:lang w:val="pt-BR"/>
        </w:rPr>
        <w:t xml:space="preserve">nas </w:t>
      </w:r>
      <w:r w:rsidR="0049090C" w:rsidRPr="002F4565">
        <w:rPr>
          <w:lang w:val="pt-BR"/>
        </w:rPr>
        <w:t>políticas</w:t>
      </w:r>
      <w:r w:rsidR="008D4E33" w:rsidRPr="002F4565">
        <w:rPr>
          <w:lang w:val="pt-BR"/>
        </w:rPr>
        <w:t xml:space="preserve"> internacionais</w:t>
      </w:r>
      <w:r w:rsidRPr="002F4565">
        <w:rPr>
          <w:lang w:val="pt-BR"/>
        </w:rPr>
        <w:t xml:space="preserve">, </w:t>
      </w:r>
      <w:r w:rsidR="00F21F55" w:rsidRPr="002F4565">
        <w:rPr>
          <w:lang w:val="pt-BR"/>
        </w:rPr>
        <w:t>inclusive</w:t>
      </w:r>
      <w:r w:rsidRPr="002F4565">
        <w:rPr>
          <w:lang w:val="pt-BR"/>
        </w:rPr>
        <w:t xml:space="preserve"> </w:t>
      </w:r>
      <w:r w:rsidR="008D4E33" w:rsidRPr="002F4565">
        <w:rPr>
          <w:lang w:val="pt-BR"/>
        </w:rPr>
        <w:t xml:space="preserve">nas Metas de </w:t>
      </w:r>
      <w:r w:rsidR="00E415D7" w:rsidRPr="002F4565">
        <w:rPr>
          <w:lang w:val="pt-BR"/>
        </w:rPr>
        <w:t>Desenvolvimento</w:t>
      </w:r>
      <w:r w:rsidRPr="002F4565">
        <w:rPr>
          <w:lang w:val="pt-BR"/>
        </w:rPr>
        <w:t xml:space="preserve"> </w:t>
      </w:r>
      <w:r w:rsidR="008D4E33" w:rsidRPr="002F4565">
        <w:rPr>
          <w:lang w:val="pt-BR"/>
        </w:rPr>
        <w:t xml:space="preserve">do </w:t>
      </w:r>
      <w:proofErr w:type="gramStart"/>
      <w:r w:rsidR="008D4E33" w:rsidRPr="002F4565">
        <w:rPr>
          <w:lang w:val="pt-BR"/>
        </w:rPr>
        <w:t>Milênio</w:t>
      </w:r>
      <w:r w:rsidRPr="002F4565">
        <w:rPr>
          <w:lang w:val="pt-BR"/>
        </w:rPr>
        <w:t>.</w:t>
      </w:r>
      <w:proofErr w:type="gramEnd"/>
      <w:r w:rsidRPr="002F4565">
        <w:rPr>
          <w:vertAlign w:val="superscript"/>
          <w:lang w:val="pt-BR"/>
        </w:rPr>
        <w:t>88</w:t>
      </w:r>
      <w:r w:rsidRPr="002F4565">
        <w:rPr>
          <w:lang w:val="pt-BR"/>
        </w:rPr>
        <w:t xml:space="preserve"> </w:t>
      </w:r>
      <w:r w:rsidR="008D4E33" w:rsidRPr="002F4565">
        <w:rPr>
          <w:lang w:val="pt-BR"/>
        </w:rPr>
        <w:t xml:space="preserve">As agências de assistência internacional que oferecem ajuda relacionada com a </w:t>
      </w:r>
      <w:r w:rsidR="0049090C" w:rsidRPr="002F4565">
        <w:rPr>
          <w:lang w:val="pt-BR"/>
        </w:rPr>
        <w:t>saúde</w:t>
      </w:r>
      <w:r w:rsidR="008D4E33" w:rsidRPr="002F4565">
        <w:rPr>
          <w:lang w:val="pt-BR"/>
        </w:rPr>
        <w:t xml:space="preserve"> aos</w:t>
      </w:r>
      <w:r w:rsidRPr="002F4565">
        <w:rPr>
          <w:lang w:val="pt-BR"/>
        </w:rPr>
        <w:t xml:space="preserve"> </w:t>
      </w:r>
      <w:r w:rsidR="003F41C2" w:rsidRPr="002F4565">
        <w:rPr>
          <w:lang w:val="pt-BR"/>
        </w:rPr>
        <w:t>países de baixa renda e renda média</w:t>
      </w:r>
      <w:r w:rsidRPr="002F4565">
        <w:rPr>
          <w:lang w:val="pt-BR"/>
        </w:rPr>
        <w:t xml:space="preserve"> </w:t>
      </w:r>
      <w:r w:rsidR="008D4E33" w:rsidRPr="002F4565">
        <w:rPr>
          <w:lang w:val="pt-BR"/>
        </w:rPr>
        <w:t xml:space="preserve">não </w:t>
      </w:r>
      <w:r w:rsidR="007245D6" w:rsidRPr="002F4565">
        <w:rPr>
          <w:lang w:val="pt-BR"/>
        </w:rPr>
        <w:t xml:space="preserve">priorizaram </w:t>
      </w:r>
      <w:r w:rsidR="008D4E33" w:rsidRPr="002F4565">
        <w:rPr>
          <w:lang w:val="pt-BR"/>
        </w:rPr>
        <w:t>suficiente</w:t>
      </w:r>
      <w:r w:rsidR="007245D6" w:rsidRPr="002F4565">
        <w:rPr>
          <w:lang w:val="pt-BR"/>
        </w:rPr>
        <w:t>mente</w:t>
      </w:r>
      <w:r w:rsidR="008D4E33" w:rsidRPr="002F4565">
        <w:rPr>
          <w:lang w:val="pt-BR"/>
        </w:rPr>
        <w:t xml:space="preserve"> </w:t>
      </w:r>
      <w:r w:rsidR="007245D6" w:rsidRPr="002F4565">
        <w:rPr>
          <w:lang w:val="pt-BR"/>
        </w:rPr>
        <w:t>a</w:t>
      </w:r>
      <w:r w:rsidR="008D4E33" w:rsidRPr="002F4565">
        <w:rPr>
          <w:lang w:val="pt-BR"/>
        </w:rPr>
        <w:t xml:space="preserve">s </w:t>
      </w:r>
      <w:r w:rsidR="0049090C" w:rsidRPr="002F4565">
        <w:rPr>
          <w:lang w:val="pt-BR"/>
        </w:rPr>
        <w:t>DNT</w:t>
      </w:r>
      <w:r w:rsidRPr="002F4565">
        <w:rPr>
          <w:lang w:val="pt-BR"/>
        </w:rPr>
        <w:t>s</w:t>
      </w:r>
      <w:r w:rsidR="007245D6" w:rsidRPr="002F4565">
        <w:rPr>
          <w:lang w:val="pt-BR"/>
        </w:rPr>
        <w:t>.</w:t>
      </w:r>
      <w:r w:rsidRPr="002F4565">
        <w:rPr>
          <w:lang w:val="pt-BR"/>
        </w:rPr>
        <w:t>.</w:t>
      </w:r>
      <w:r w:rsidRPr="002F4565">
        <w:rPr>
          <w:vertAlign w:val="subscript"/>
          <w:lang w:val="pt-BR"/>
        </w:rPr>
        <w:t>89</w:t>
      </w:r>
      <w:r w:rsidRPr="002F4565">
        <w:rPr>
          <w:lang w:val="pt-BR"/>
        </w:rPr>
        <w:t xml:space="preserve"> </w:t>
      </w:r>
      <w:r w:rsidR="008D4E33" w:rsidRPr="002F4565">
        <w:rPr>
          <w:lang w:val="pt-BR"/>
        </w:rPr>
        <w:t xml:space="preserve">Apenas recentemente as </w:t>
      </w:r>
      <w:r w:rsidRPr="002F4565">
        <w:rPr>
          <w:lang w:val="pt-BR"/>
        </w:rPr>
        <w:t>organiz</w:t>
      </w:r>
      <w:r w:rsidR="00F21F55" w:rsidRPr="002F4565">
        <w:rPr>
          <w:lang w:val="pt-BR"/>
        </w:rPr>
        <w:t>ações</w:t>
      </w:r>
      <w:r w:rsidRPr="002F4565">
        <w:rPr>
          <w:lang w:val="pt-BR"/>
        </w:rPr>
        <w:t xml:space="preserve"> </w:t>
      </w:r>
      <w:r w:rsidR="008D4E33" w:rsidRPr="002F4565">
        <w:rPr>
          <w:lang w:val="pt-BR"/>
        </w:rPr>
        <w:t xml:space="preserve">internacionais e regionais mudaram o foco </w:t>
      </w:r>
      <w:r w:rsidR="0049090C" w:rsidRPr="002F4565">
        <w:rPr>
          <w:lang w:val="pt-BR"/>
        </w:rPr>
        <w:t>e</w:t>
      </w:r>
      <w:r w:rsidRPr="002F4565">
        <w:rPr>
          <w:lang w:val="pt-BR"/>
        </w:rPr>
        <w:t xml:space="preserve"> </w:t>
      </w:r>
      <w:r w:rsidR="008D4E33" w:rsidRPr="002F4565">
        <w:rPr>
          <w:lang w:val="pt-BR"/>
        </w:rPr>
        <w:t xml:space="preserve">convocaram os </w:t>
      </w:r>
      <w:r w:rsidR="003C09F9" w:rsidRPr="002F4565">
        <w:rPr>
          <w:lang w:val="pt-BR"/>
        </w:rPr>
        <w:t>Governo</w:t>
      </w:r>
      <w:r w:rsidRPr="002F4565">
        <w:rPr>
          <w:lang w:val="pt-BR"/>
        </w:rPr>
        <w:t xml:space="preserve">s, </w:t>
      </w:r>
      <w:r w:rsidR="008D4E33" w:rsidRPr="002F4565">
        <w:rPr>
          <w:lang w:val="pt-BR"/>
        </w:rPr>
        <w:t xml:space="preserve">o setor privado </w:t>
      </w:r>
      <w:r w:rsidR="0049090C" w:rsidRPr="002F4565">
        <w:rPr>
          <w:lang w:val="pt-BR"/>
        </w:rPr>
        <w:t>e</w:t>
      </w:r>
      <w:r w:rsidRPr="002F4565">
        <w:rPr>
          <w:lang w:val="pt-BR"/>
        </w:rPr>
        <w:t xml:space="preserve"> </w:t>
      </w:r>
      <w:r w:rsidR="008D4E33" w:rsidRPr="002F4565">
        <w:rPr>
          <w:lang w:val="pt-BR"/>
        </w:rPr>
        <w:t xml:space="preserve">as </w:t>
      </w:r>
      <w:r w:rsidR="007245D6" w:rsidRPr="002F4565">
        <w:rPr>
          <w:lang w:val="pt-BR"/>
        </w:rPr>
        <w:t>ONGs (</w:t>
      </w:r>
      <w:r w:rsidRPr="002F4565">
        <w:rPr>
          <w:lang w:val="pt-BR"/>
        </w:rPr>
        <w:t>organiz</w:t>
      </w:r>
      <w:r w:rsidR="00F21F55" w:rsidRPr="002F4565">
        <w:rPr>
          <w:lang w:val="pt-BR"/>
        </w:rPr>
        <w:t>ações</w:t>
      </w:r>
      <w:r w:rsidRPr="002F4565">
        <w:rPr>
          <w:lang w:val="pt-BR"/>
        </w:rPr>
        <w:t xml:space="preserve"> </w:t>
      </w:r>
      <w:r w:rsidR="008D4E33" w:rsidRPr="002F4565">
        <w:rPr>
          <w:lang w:val="pt-BR"/>
        </w:rPr>
        <w:t>não governamentais</w:t>
      </w:r>
      <w:r w:rsidR="007245D6" w:rsidRPr="002F4565">
        <w:rPr>
          <w:lang w:val="pt-BR"/>
        </w:rPr>
        <w:t>)</w:t>
      </w:r>
      <w:r w:rsidR="008D4E33" w:rsidRPr="002F4565">
        <w:rPr>
          <w:lang w:val="pt-BR"/>
        </w:rPr>
        <w:t xml:space="preserve"> para se reunirem e tomar medidas para a </w:t>
      </w:r>
      <w:r w:rsidR="00F21F55" w:rsidRPr="002F4565">
        <w:rPr>
          <w:lang w:val="pt-BR"/>
        </w:rPr>
        <w:t>prevenção</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DNT</w:t>
      </w:r>
      <w:r w:rsidRPr="002F4565">
        <w:rPr>
          <w:lang w:val="pt-BR"/>
        </w:rPr>
        <w:t xml:space="preserve">s </w:t>
      </w:r>
      <w:r w:rsidR="008D4E33" w:rsidRPr="002F4565">
        <w:rPr>
          <w:lang w:val="pt-BR"/>
        </w:rPr>
        <w:t>em todas as regiões</w:t>
      </w:r>
      <w:r w:rsidRPr="002F4565">
        <w:rPr>
          <w:lang w:val="pt-BR"/>
        </w:rPr>
        <w:t>.</w:t>
      </w:r>
      <w:r w:rsidRPr="002F4565">
        <w:rPr>
          <w:vertAlign w:val="superscript"/>
          <w:lang w:val="pt-BR"/>
        </w:rPr>
        <w:t>90</w:t>
      </w:r>
      <w:r w:rsidRPr="002F4565">
        <w:rPr>
          <w:lang w:val="pt-BR"/>
        </w:rPr>
        <w:t xml:space="preserve"> </w:t>
      </w:r>
    </w:p>
    <w:p w:rsidR="00115B91" w:rsidRPr="002F4565" w:rsidRDefault="008D4E33" w:rsidP="0051636A">
      <w:pPr>
        <w:spacing w:before="120" w:after="0" w:line="240" w:lineRule="auto"/>
        <w:rPr>
          <w:lang w:val="pt-BR"/>
        </w:rPr>
      </w:pPr>
      <w:r w:rsidRPr="002F4565">
        <w:rPr>
          <w:lang w:val="pt-BR"/>
        </w:rPr>
        <w:t xml:space="preserve">Ao </w:t>
      </w:r>
      <w:r w:rsidR="00115B91" w:rsidRPr="002F4565">
        <w:rPr>
          <w:lang w:val="pt-BR"/>
        </w:rPr>
        <w:t>formula</w:t>
      </w:r>
      <w:r w:rsidRPr="002F4565">
        <w:rPr>
          <w:lang w:val="pt-BR"/>
        </w:rPr>
        <w:t xml:space="preserve">r a </w:t>
      </w:r>
      <w:r w:rsidR="00115B91" w:rsidRPr="002F4565">
        <w:rPr>
          <w:lang w:val="pt-BR"/>
        </w:rPr>
        <w:t>agenda</w:t>
      </w:r>
      <w:r w:rsidRPr="002F4565">
        <w:rPr>
          <w:lang w:val="pt-BR"/>
        </w:rPr>
        <w:t xml:space="preserve"> de desenvolvimento pós-2015</w:t>
      </w:r>
      <w:r w:rsidR="00115B91" w:rsidRPr="002F4565">
        <w:rPr>
          <w:lang w:val="pt-BR"/>
        </w:rPr>
        <w:t xml:space="preserve">, </w:t>
      </w:r>
      <w:r w:rsidR="00BA446D" w:rsidRPr="002F4565">
        <w:rPr>
          <w:lang w:val="pt-BR"/>
        </w:rPr>
        <w:t>os Estados</w:t>
      </w:r>
      <w:r w:rsidR="00115B91" w:rsidRPr="002F4565">
        <w:rPr>
          <w:lang w:val="pt-BR"/>
        </w:rPr>
        <w:t xml:space="preserve"> </w:t>
      </w:r>
      <w:r w:rsidRPr="002F4565">
        <w:rPr>
          <w:lang w:val="pt-BR"/>
        </w:rPr>
        <w:t xml:space="preserve">sabiamente demonstraram vontade política inédita para </w:t>
      </w:r>
      <w:r w:rsidR="007245D6" w:rsidRPr="002F4565">
        <w:rPr>
          <w:lang w:val="pt-BR"/>
        </w:rPr>
        <w:t xml:space="preserve">tratar da </w:t>
      </w:r>
      <w:r w:rsidR="00F21F55" w:rsidRPr="002F4565">
        <w:rPr>
          <w:lang w:val="pt-BR"/>
        </w:rPr>
        <w:t>redução</w:t>
      </w:r>
      <w:r w:rsidR="00115B91" w:rsidRPr="002F4565">
        <w:rPr>
          <w:lang w:val="pt-BR"/>
        </w:rPr>
        <w:t xml:space="preserve"> </w:t>
      </w:r>
      <w:r w:rsidR="0049090C" w:rsidRPr="002F4565">
        <w:rPr>
          <w:lang w:val="pt-BR"/>
        </w:rPr>
        <w:t>e</w:t>
      </w:r>
      <w:r w:rsidR="00115B91" w:rsidRPr="002F4565">
        <w:rPr>
          <w:lang w:val="pt-BR"/>
        </w:rPr>
        <w:t xml:space="preserve"> </w:t>
      </w:r>
      <w:r w:rsidR="00F21F55" w:rsidRPr="002F4565">
        <w:rPr>
          <w:lang w:val="pt-BR"/>
        </w:rPr>
        <w:t>prevenção</w:t>
      </w:r>
      <w:r w:rsidR="00115B91" w:rsidRPr="002F4565">
        <w:rPr>
          <w:lang w:val="pt-BR"/>
        </w:rPr>
        <w:t xml:space="preserve"> </w:t>
      </w:r>
      <w:r w:rsidR="0049090C" w:rsidRPr="002F4565">
        <w:rPr>
          <w:lang w:val="pt-BR"/>
        </w:rPr>
        <w:t>de</w:t>
      </w:r>
      <w:r w:rsidR="00115B91" w:rsidRPr="002F4565">
        <w:rPr>
          <w:lang w:val="pt-BR"/>
        </w:rPr>
        <w:t xml:space="preserve"> </w:t>
      </w:r>
      <w:proofErr w:type="gramStart"/>
      <w:r w:rsidR="0049090C" w:rsidRPr="002F4565">
        <w:rPr>
          <w:lang w:val="pt-BR"/>
        </w:rPr>
        <w:t>DNT</w:t>
      </w:r>
      <w:r w:rsidR="00115B91" w:rsidRPr="002F4565">
        <w:rPr>
          <w:lang w:val="pt-BR"/>
        </w:rPr>
        <w:t>s,</w:t>
      </w:r>
      <w:proofErr w:type="gramEnd"/>
      <w:r w:rsidR="00115B91" w:rsidRPr="002F4565">
        <w:rPr>
          <w:vertAlign w:val="superscript"/>
          <w:lang w:val="pt-BR"/>
        </w:rPr>
        <w:t>91</w:t>
      </w:r>
      <w:r w:rsidR="00115B91" w:rsidRPr="002F4565">
        <w:rPr>
          <w:lang w:val="pt-BR"/>
        </w:rPr>
        <w:t xml:space="preserve"> </w:t>
      </w:r>
      <w:r w:rsidR="0049090C" w:rsidRPr="002F4565">
        <w:rPr>
          <w:lang w:val="pt-BR"/>
        </w:rPr>
        <w:t>e</w:t>
      </w:r>
      <w:r w:rsidR="00115B91" w:rsidRPr="002F4565">
        <w:rPr>
          <w:lang w:val="pt-BR"/>
        </w:rPr>
        <w:t xml:space="preserve"> </w:t>
      </w:r>
      <w:r w:rsidRPr="002F4565">
        <w:rPr>
          <w:lang w:val="pt-BR"/>
        </w:rPr>
        <w:t xml:space="preserve">os </w:t>
      </w:r>
      <w:r w:rsidR="003C09F9" w:rsidRPr="002F4565">
        <w:rPr>
          <w:lang w:val="pt-BR"/>
        </w:rPr>
        <w:t>Governo</w:t>
      </w:r>
      <w:r w:rsidR="00115B91" w:rsidRPr="002F4565">
        <w:rPr>
          <w:lang w:val="pt-BR"/>
        </w:rPr>
        <w:t xml:space="preserve">s </w:t>
      </w:r>
      <w:r w:rsidRPr="002F4565">
        <w:rPr>
          <w:lang w:val="pt-BR"/>
        </w:rPr>
        <w:t xml:space="preserve">foram instados a reduzir </w:t>
      </w:r>
      <w:r w:rsidR="00261A8A" w:rsidRPr="002F4565">
        <w:rPr>
          <w:lang w:val="pt-BR"/>
        </w:rPr>
        <w:t>o</w:t>
      </w:r>
      <w:r w:rsidR="00115B91" w:rsidRPr="002F4565">
        <w:rPr>
          <w:lang w:val="pt-BR"/>
        </w:rPr>
        <w:t xml:space="preserve"> </w:t>
      </w:r>
      <w:r w:rsidR="00F21F55" w:rsidRPr="002F4565">
        <w:rPr>
          <w:lang w:val="pt-BR"/>
        </w:rPr>
        <w:t>ônus</w:t>
      </w:r>
      <w:r w:rsidR="00115B91" w:rsidRPr="002F4565">
        <w:rPr>
          <w:lang w:val="pt-BR"/>
        </w:rPr>
        <w:t xml:space="preserve"> </w:t>
      </w:r>
      <w:r w:rsidR="0049090C" w:rsidRPr="002F4565">
        <w:rPr>
          <w:lang w:val="pt-BR"/>
        </w:rPr>
        <w:t>d</w:t>
      </w:r>
      <w:r w:rsidRPr="002F4565">
        <w:rPr>
          <w:lang w:val="pt-BR"/>
        </w:rPr>
        <w:t>as</w:t>
      </w:r>
      <w:r w:rsidR="00115B91" w:rsidRPr="002F4565">
        <w:rPr>
          <w:lang w:val="pt-BR"/>
        </w:rPr>
        <w:t xml:space="preserve"> </w:t>
      </w:r>
      <w:r w:rsidR="0049090C" w:rsidRPr="002F4565">
        <w:rPr>
          <w:lang w:val="pt-BR"/>
        </w:rPr>
        <w:t>DNT</w:t>
      </w:r>
      <w:r w:rsidR="00115B91" w:rsidRPr="002F4565">
        <w:rPr>
          <w:lang w:val="pt-BR"/>
        </w:rPr>
        <w:t xml:space="preserve">s </w:t>
      </w:r>
      <w:r w:rsidRPr="002F4565">
        <w:rPr>
          <w:lang w:val="pt-BR"/>
        </w:rPr>
        <w:t xml:space="preserve">até </w:t>
      </w:r>
      <w:r w:rsidR="00115B91" w:rsidRPr="002F4565">
        <w:rPr>
          <w:lang w:val="pt-BR"/>
        </w:rPr>
        <w:t>2025.</w:t>
      </w:r>
      <w:r w:rsidR="00115B91" w:rsidRPr="002F4565">
        <w:rPr>
          <w:vertAlign w:val="superscript"/>
          <w:lang w:val="pt-BR"/>
        </w:rPr>
        <w:t>92</w:t>
      </w:r>
      <w:r w:rsidR="00115B91" w:rsidRPr="002F4565">
        <w:rPr>
          <w:lang w:val="pt-BR"/>
        </w:rPr>
        <w:t xml:space="preserve"> </w:t>
      </w:r>
      <w:r w:rsidR="000E48EB" w:rsidRPr="002F4565">
        <w:rPr>
          <w:lang w:val="pt-BR"/>
        </w:rPr>
        <w:t>Há</w:t>
      </w:r>
      <w:r w:rsidR="00115B91" w:rsidRPr="002F4565">
        <w:rPr>
          <w:lang w:val="pt-BR"/>
        </w:rPr>
        <w:t xml:space="preserve"> </w:t>
      </w:r>
      <w:r w:rsidRPr="002F4565">
        <w:rPr>
          <w:lang w:val="pt-BR"/>
        </w:rPr>
        <w:t xml:space="preserve">reconhecimento crescente entre os </w:t>
      </w:r>
      <w:r w:rsidR="003C09F9" w:rsidRPr="002F4565">
        <w:rPr>
          <w:lang w:val="pt-BR"/>
        </w:rPr>
        <w:t>Governo</w:t>
      </w:r>
      <w:r w:rsidR="00115B91" w:rsidRPr="002F4565">
        <w:rPr>
          <w:lang w:val="pt-BR"/>
        </w:rPr>
        <w:t xml:space="preserve">s </w:t>
      </w:r>
      <w:r w:rsidR="0049090C" w:rsidRPr="002F4565">
        <w:rPr>
          <w:lang w:val="pt-BR"/>
        </w:rPr>
        <w:t>de</w:t>
      </w:r>
      <w:r w:rsidR="00115B91" w:rsidRPr="002F4565">
        <w:rPr>
          <w:lang w:val="pt-BR"/>
        </w:rPr>
        <w:t xml:space="preserve"> </w:t>
      </w:r>
      <w:r w:rsidRPr="002F4565">
        <w:rPr>
          <w:lang w:val="pt-BR"/>
        </w:rPr>
        <w:t xml:space="preserve">vincular </w:t>
      </w:r>
      <w:r w:rsidR="00FB4401" w:rsidRPr="002F4565">
        <w:rPr>
          <w:lang w:val="pt-BR"/>
        </w:rPr>
        <w:t>dietas não saudáveis</w:t>
      </w:r>
      <w:r w:rsidR="00115B91" w:rsidRPr="002F4565">
        <w:rPr>
          <w:lang w:val="pt-BR"/>
        </w:rPr>
        <w:t xml:space="preserve"> </w:t>
      </w:r>
      <w:r w:rsidRPr="002F4565">
        <w:rPr>
          <w:lang w:val="pt-BR"/>
        </w:rPr>
        <w:t xml:space="preserve">às </w:t>
      </w:r>
      <w:r w:rsidR="0049090C" w:rsidRPr="002F4565">
        <w:rPr>
          <w:lang w:val="pt-BR"/>
        </w:rPr>
        <w:t>DNT</w:t>
      </w:r>
      <w:r w:rsidR="00115B91" w:rsidRPr="002F4565">
        <w:rPr>
          <w:lang w:val="pt-BR"/>
        </w:rPr>
        <w:t xml:space="preserve">s </w:t>
      </w:r>
      <w:r w:rsidR="0049090C" w:rsidRPr="002F4565">
        <w:rPr>
          <w:lang w:val="pt-BR"/>
        </w:rPr>
        <w:t>e</w:t>
      </w:r>
      <w:r w:rsidR="00115B91" w:rsidRPr="002F4565">
        <w:rPr>
          <w:lang w:val="pt-BR"/>
        </w:rPr>
        <w:t xml:space="preserve"> </w:t>
      </w:r>
      <w:r w:rsidRPr="002F4565">
        <w:rPr>
          <w:lang w:val="pt-BR"/>
        </w:rPr>
        <w:t>a</w:t>
      </w:r>
      <w:r w:rsidR="00261A8A" w:rsidRPr="002F4565">
        <w:rPr>
          <w:lang w:val="pt-BR"/>
        </w:rPr>
        <w:t>o</w:t>
      </w:r>
      <w:r w:rsidRPr="002F4565">
        <w:rPr>
          <w:lang w:val="pt-BR"/>
        </w:rPr>
        <w:t>s</w:t>
      </w:r>
      <w:r w:rsidR="00115B91" w:rsidRPr="002F4565">
        <w:rPr>
          <w:lang w:val="pt-BR"/>
        </w:rPr>
        <w:t xml:space="preserve"> </w:t>
      </w:r>
      <w:r w:rsidR="00E46F33" w:rsidRPr="002F4565">
        <w:rPr>
          <w:lang w:val="pt-BR"/>
        </w:rPr>
        <w:t>desafio</w:t>
      </w:r>
      <w:r w:rsidR="00115B91" w:rsidRPr="002F4565">
        <w:rPr>
          <w:lang w:val="pt-BR"/>
        </w:rPr>
        <w:t xml:space="preserve">s </w:t>
      </w:r>
      <w:r w:rsidRPr="002F4565">
        <w:rPr>
          <w:lang w:val="pt-BR"/>
        </w:rPr>
        <w:t xml:space="preserve">que apresentam ao </w:t>
      </w:r>
      <w:r w:rsidR="00E415D7" w:rsidRPr="002F4565">
        <w:rPr>
          <w:lang w:val="pt-BR"/>
        </w:rPr>
        <w:t>desenvolvimento</w:t>
      </w:r>
      <w:r w:rsidR="00115B91" w:rsidRPr="002F4565">
        <w:rPr>
          <w:lang w:val="pt-BR"/>
        </w:rPr>
        <w:t xml:space="preserve"> (A/RES/66/2).</w:t>
      </w:r>
    </w:p>
    <w:p w:rsidR="00115B91" w:rsidRPr="002F4565" w:rsidRDefault="00115B91" w:rsidP="0051636A">
      <w:pPr>
        <w:spacing w:before="120" w:after="0" w:line="240" w:lineRule="auto"/>
        <w:rPr>
          <w:lang w:val="pt-BR"/>
        </w:rPr>
      </w:pPr>
      <w:r w:rsidRPr="002F4565">
        <w:rPr>
          <w:lang w:val="pt-BR"/>
        </w:rPr>
        <w:t xml:space="preserve">61. </w:t>
      </w:r>
      <w:r w:rsidR="007245D6" w:rsidRPr="002F4565">
        <w:rPr>
          <w:lang w:val="pt-BR"/>
        </w:rPr>
        <w:t>É necessária u</w:t>
      </w:r>
      <w:r w:rsidR="008D4E33" w:rsidRPr="002F4565">
        <w:rPr>
          <w:lang w:val="pt-BR"/>
        </w:rPr>
        <w:t xml:space="preserve">ma </w:t>
      </w:r>
      <w:r w:rsidR="00E415D7" w:rsidRPr="002F4565">
        <w:rPr>
          <w:lang w:val="pt-BR"/>
        </w:rPr>
        <w:t>estrutura</w:t>
      </w:r>
      <w:r w:rsidRPr="002F4565">
        <w:rPr>
          <w:lang w:val="pt-BR"/>
        </w:rPr>
        <w:t xml:space="preserve"> </w:t>
      </w:r>
      <w:r w:rsidR="008D4E33" w:rsidRPr="002F4565">
        <w:rPr>
          <w:lang w:val="pt-BR"/>
        </w:rPr>
        <w:t xml:space="preserve">internacional eficaz para responsabilizar legalmente a </w:t>
      </w:r>
      <w:r w:rsidR="00F21F55" w:rsidRPr="002F4565">
        <w:rPr>
          <w:lang w:val="pt-BR"/>
        </w:rPr>
        <w:t xml:space="preserve">indústria </w:t>
      </w:r>
      <w:r w:rsidR="008D4E33" w:rsidRPr="002F4565">
        <w:rPr>
          <w:lang w:val="pt-BR"/>
        </w:rPr>
        <w:t xml:space="preserve">global </w:t>
      </w:r>
      <w:r w:rsidR="00F21F55" w:rsidRPr="002F4565">
        <w:rPr>
          <w:lang w:val="pt-BR"/>
        </w:rPr>
        <w:t>de alimentos</w:t>
      </w:r>
      <w:r w:rsidRPr="002F4565">
        <w:rPr>
          <w:lang w:val="pt-BR"/>
        </w:rPr>
        <w:t xml:space="preserve"> </w:t>
      </w:r>
      <w:r w:rsidR="008D4E33" w:rsidRPr="002F4565">
        <w:rPr>
          <w:lang w:val="pt-BR"/>
        </w:rPr>
        <w:t xml:space="preserve">por seus </w:t>
      </w:r>
      <w:proofErr w:type="gramStart"/>
      <w:r w:rsidR="008D4E33" w:rsidRPr="002F4565">
        <w:rPr>
          <w:lang w:val="pt-BR"/>
        </w:rPr>
        <w:t>atos</w:t>
      </w:r>
      <w:r w:rsidRPr="002F4565">
        <w:rPr>
          <w:lang w:val="pt-BR"/>
        </w:rPr>
        <w:t>.</w:t>
      </w:r>
      <w:proofErr w:type="gramEnd"/>
      <w:r w:rsidRPr="002F4565">
        <w:rPr>
          <w:vertAlign w:val="superscript"/>
          <w:lang w:val="pt-BR"/>
        </w:rPr>
        <w:t>93</w:t>
      </w:r>
      <w:r w:rsidRPr="002F4565">
        <w:rPr>
          <w:lang w:val="pt-BR"/>
        </w:rPr>
        <w:t xml:space="preserve"> </w:t>
      </w:r>
      <w:r w:rsidR="000E48EB" w:rsidRPr="002F4565">
        <w:rPr>
          <w:lang w:val="pt-BR"/>
        </w:rPr>
        <w:t>Há</w:t>
      </w:r>
      <w:r w:rsidRPr="002F4565">
        <w:rPr>
          <w:lang w:val="pt-BR"/>
        </w:rPr>
        <w:t xml:space="preserve"> </w:t>
      </w:r>
      <w:r w:rsidR="0049090C" w:rsidRPr="002F4565">
        <w:rPr>
          <w:lang w:val="pt-BR"/>
        </w:rPr>
        <w:t>necessidade</w:t>
      </w:r>
      <w:r w:rsidRPr="002F4565">
        <w:rPr>
          <w:lang w:val="pt-BR"/>
        </w:rPr>
        <w:t xml:space="preserve"> </w:t>
      </w:r>
      <w:r w:rsidR="008D4E33" w:rsidRPr="002F4565">
        <w:rPr>
          <w:lang w:val="pt-BR"/>
        </w:rPr>
        <w:t xml:space="preserve">de criar uma </w:t>
      </w:r>
      <w:r w:rsidR="00E415D7" w:rsidRPr="002F4565">
        <w:rPr>
          <w:lang w:val="pt-BR"/>
        </w:rPr>
        <w:t>estrutura</w:t>
      </w:r>
      <w:r w:rsidRPr="002F4565">
        <w:rPr>
          <w:lang w:val="pt-BR"/>
        </w:rPr>
        <w:t xml:space="preserve"> </w:t>
      </w:r>
      <w:r w:rsidR="008D4E33" w:rsidRPr="002F4565">
        <w:rPr>
          <w:lang w:val="pt-BR"/>
        </w:rPr>
        <w:t xml:space="preserve">internacional </w:t>
      </w:r>
      <w:r w:rsidR="006A31E1" w:rsidRPr="002F4565">
        <w:rPr>
          <w:lang w:val="pt-BR"/>
        </w:rPr>
        <w:t>que</w:t>
      </w:r>
      <w:r w:rsidRPr="002F4565">
        <w:rPr>
          <w:lang w:val="pt-BR"/>
        </w:rPr>
        <w:t xml:space="preserve"> </w:t>
      </w:r>
      <w:r w:rsidR="008D4E33" w:rsidRPr="002F4565">
        <w:rPr>
          <w:lang w:val="pt-BR"/>
        </w:rPr>
        <w:t xml:space="preserve">vincule </w:t>
      </w:r>
      <w:r w:rsidR="00BA446D" w:rsidRPr="002F4565">
        <w:rPr>
          <w:lang w:val="pt-BR"/>
        </w:rPr>
        <w:t>os Estados</w:t>
      </w:r>
      <w:r w:rsidRPr="002F4565">
        <w:rPr>
          <w:lang w:val="pt-BR"/>
        </w:rPr>
        <w:t xml:space="preserve"> </w:t>
      </w:r>
      <w:r w:rsidR="0049090C" w:rsidRPr="002F4565">
        <w:rPr>
          <w:lang w:val="pt-BR"/>
        </w:rPr>
        <w:t>e</w:t>
      </w:r>
      <w:r w:rsidRPr="002F4565">
        <w:rPr>
          <w:lang w:val="pt-BR"/>
        </w:rPr>
        <w:t xml:space="preserve"> </w:t>
      </w:r>
      <w:r w:rsidR="008D4E33" w:rsidRPr="002F4565">
        <w:rPr>
          <w:lang w:val="pt-BR"/>
        </w:rPr>
        <w:t xml:space="preserve">os </w:t>
      </w:r>
      <w:r w:rsidR="007245D6" w:rsidRPr="002F4565">
        <w:rPr>
          <w:lang w:val="pt-BR"/>
        </w:rPr>
        <w:t xml:space="preserve">responsabilize </w:t>
      </w:r>
      <w:r w:rsidR="008D4E33" w:rsidRPr="002F4565">
        <w:rPr>
          <w:lang w:val="pt-BR"/>
        </w:rPr>
        <w:t xml:space="preserve">por </w:t>
      </w:r>
      <w:r w:rsidRPr="002F4565">
        <w:rPr>
          <w:lang w:val="pt-BR"/>
        </w:rPr>
        <w:t>mo</w:t>
      </w:r>
      <w:r w:rsidR="00791370" w:rsidRPr="002F4565">
        <w:rPr>
          <w:lang w:val="pt-BR"/>
        </w:rPr>
        <w:t>dificar</w:t>
      </w:r>
      <w:r w:rsidRPr="002F4565">
        <w:rPr>
          <w:lang w:val="pt-BR"/>
        </w:rPr>
        <w:t xml:space="preserve"> </w:t>
      </w:r>
      <w:r w:rsidR="00624BDC" w:rsidRPr="002F4565">
        <w:rPr>
          <w:lang w:val="pt-BR"/>
        </w:rPr>
        <w:t>leis</w:t>
      </w:r>
      <w:r w:rsidRPr="002F4565">
        <w:rPr>
          <w:lang w:val="pt-BR"/>
        </w:rPr>
        <w:t xml:space="preserve"> </w:t>
      </w:r>
      <w:r w:rsidR="008D4E33" w:rsidRPr="002F4565">
        <w:rPr>
          <w:lang w:val="pt-BR"/>
        </w:rPr>
        <w:t xml:space="preserve">domésticas para a </w:t>
      </w:r>
      <w:r w:rsidR="00F21F55" w:rsidRPr="002F4565">
        <w:rPr>
          <w:lang w:val="pt-BR"/>
        </w:rPr>
        <w:t>redução</w:t>
      </w:r>
      <w:r w:rsidRPr="002F4565">
        <w:rPr>
          <w:lang w:val="pt-BR"/>
        </w:rPr>
        <w:t xml:space="preserve"> </w:t>
      </w:r>
      <w:r w:rsidR="0049090C" w:rsidRPr="002F4565">
        <w:rPr>
          <w:lang w:val="pt-BR"/>
        </w:rPr>
        <w:t>e</w:t>
      </w:r>
      <w:r w:rsidRPr="002F4565">
        <w:rPr>
          <w:lang w:val="pt-BR"/>
        </w:rPr>
        <w:t xml:space="preserve"> </w:t>
      </w:r>
      <w:r w:rsidR="00F21F55" w:rsidRPr="002F4565">
        <w:rPr>
          <w:lang w:val="pt-BR"/>
        </w:rPr>
        <w:t>prevenção</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DNTs relacionadas com a dieta</w:t>
      </w:r>
      <w:r w:rsidRPr="002F4565">
        <w:rPr>
          <w:lang w:val="pt-BR"/>
        </w:rPr>
        <w:t xml:space="preserve">. </w:t>
      </w:r>
      <w:r w:rsidR="00CA2BE3" w:rsidRPr="002F4565">
        <w:rPr>
          <w:lang w:val="pt-BR"/>
        </w:rPr>
        <w:t>A</w:t>
      </w:r>
      <w:r w:rsidRPr="002F4565">
        <w:rPr>
          <w:lang w:val="pt-BR"/>
        </w:rPr>
        <w:t xml:space="preserve"> Con</w:t>
      </w:r>
      <w:r w:rsidR="00765AF7" w:rsidRPr="002F4565">
        <w:rPr>
          <w:lang w:val="pt-BR"/>
        </w:rPr>
        <w:t>venção</w:t>
      </w:r>
      <w:r w:rsidRPr="002F4565">
        <w:rPr>
          <w:lang w:val="pt-BR"/>
        </w:rPr>
        <w:t xml:space="preserve"> </w:t>
      </w:r>
      <w:r w:rsidR="00CA2BE3" w:rsidRPr="002F4565">
        <w:rPr>
          <w:lang w:val="pt-BR"/>
        </w:rPr>
        <w:t xml:space="preserve">Estrutural sobre </w:t>
      </w:r>
      <w:r w:rsidR="007245D6" w:rsidRPr="002F4565">
        <w:rPr>
          <w:lang w:val="pt-BR"/>
        </w:rPr>
        <w:t xml:space="preserve">o </w:t>
      </w:r>
      <w:r w:rsidR="00CA2BE3" w:rsidRPr="002F4565">
        <w:rPr>
          <w:lang w:val="pt-BR"/>
        </w:rPr>
        <w:t xml:space="preserve">Controle do Tabagismo </w:t>
      </w:r>
      <w:r w:rsidR="00182B8E" w:rsidRPr="002F4565">
        <w:rPr>
          <w:lang w:val="pt-BR"/>
        </w:rPr>
        <w:t>poderia ser</w:t>
      </w:r>
      <w:r w:rsidRPr="002F4565">
        <w:rPr>
          <w:lang w:val="pt-BR"/>
        </w:rPr>
        <w:t xml:space="preserve"> us</w:t>
      </w:r>
      <w:r w:rsidR="00CA2BE3" w:rsidRPr="002F4565">
        <w:rPr>
          <w:lang w:val="pt-BR"/>
        </w:rPr>
        <w:t>ada</w:t>
      </w:r>
      <w:r w:rsidRPr="002F4565">
        <w:rPr>
          <w:lang w:val="pt-BR"/>
        </w:rPr>
        <w:t xml:space="preserve"> </w:t>
      </w:r>
      <w:r w:rsidR="00CA2BE3" w:rsidRPr="002F4565">
        <w:rPr>
          <w:lang w:val="pt-BR"/>
        </w:rPr>
        <w:t xml:space="preserve">como base sobre a qual possa ser construída uma </w:t>
      </w:r>
      <w:r w:rsidR="00E415D7" w:rsidRPr="002F4565">
        <w:rPr>
          <w:lang w:val="pt-BR"/>
        </w:rPr>
        <w:t>estrutura</w:t>
      </w:r>
      <w:r w:rsidRPr="002F4565">
        <w:rPr>
          <w:lang w:val="pt-BR"/>
        </w:rPr>
        <w:t xml:space="preserve"> </w:t>
      </w:r>
      <w:r w:rsidR="00CA2BE3" w:rsidRPr="002F4565">
        <w:rPr>
          <w:lang w:val="pt-BR"/>
        </w:rPr>
        <w:t xml:space="preserve">internacional de </w:t>
      </w:r>
      <w:r w:rsidR="005A25F5" w:rsidRPr="002F4565">
        <w:rPr>
          <w:lang w:val="pt-BR"/>
        </w:rPr>
        <w:t>responsabilização</w:t>
      </w:r>
      <w:r w:rsidRPr="002F4565">
        <w:rPr>
          <w:lang w:val="pt-BR"/>
        </w:rPr>
        <w:t xml:space="preserve"> </w:t>
      </w:r>
      <w:r w:rsidR="0049090C" w:rsidRPr="002F4565">
        <w:rPr>
          <w:lang w:val="pt-BR"/>
        </w:rPr>
        <w:t>e</w:t>
      </w:r>
      <w:r w:rsidRPr="002F4565">
        <w:rPr>
          <w:lang w:val="pt-BR"/>
        </w:rPr>
        <w:t xml:space="preserve"> </w:t>
      </w:r>
      <w:r w:rsidR="00303A80" w:rsidRPr="002F4565">
        <w:rPr>
          <w:lang w:val="pt-BR"/>
        </w:rPr>
        <w:t>monitoramento</w:t>
      </w:r>
      <w:r w:rsidRPr="002F4565">
        <w:rPr>
          <w:lang w:val="pt-BR"/>
        </w:rPr>
        <w:t xml:space="preserve"> </w:t>
      </w:r>
      <w:r w:rsidR="0049090C" w:rsidRPr="002F4565">
        <w:rPr>
          <w:lang w:val="pt-BR"/>
        </w:rPr>
        <w:t>d</w:t>
      </w:r>
      <w:r w:rsidR="00CA2BE3" w:rsidRPr="002F4565">
        <w:rPr>
          <w:lang w:val="pt-BR"/>
        </w:rPr>
        <w:t>a</w:t>
      </w:r>
      <w:r w:rsidRPr="002F4565">
        <w:rPr>
          <w:lang w:val="pt-BR"/>
        </w:rPr>
        <w:t xml:space="preserve"> </w:t>
      </w:r>
      <w:r w:rsidR="00802E44" w:rsidRPr="002F4565">
        <w:rPr>
          <w:lang w:val="pt-BR"/>
        </w:rPr>
        <w:t>indústria</w:t>
      </w:r>
      <w:r w:rsidRPr="002F4565">
        <w:rPr>
          <w:lang w:val="pt-BR"/>
        </w:rPr>
        <w:t xml:space="preserve"> </w:t>
      </w:r>
      <w:r w:rsidR="00CA2BE3" w:rsidRPr="002F4565">
        <w:rPr>
          <w:lang w:val="pt-BR"/>
        </w:rPr>
        <w:t>de alimentos e bebidas</w:t>
      </w:r>
      <w:r w:rsidRPr="002F4565">
        <w:rPr>
          <w:lang w:val="pt-BR"/>
        </w:rPr>
        <w:t xml:space="preserve">. </w:t>
      </w:r>
      <w:r w:rsidR="00CA2BE3" w:rsidRPr="002F4565">
        <w:rPr>
          <w:lang w:val="pt-BR"/>
        </w:rPr>
        <w:t>A</w:t>
      </w:r>
      <w:r w:rsidRPr="002F4565">
        <w:rPr>
          <w:lang w:val="pt-BR"/>
        </w:rPr>
        <w:t xml:space="preserve"> </w:t>
      </w:r>
      <w:r w:rsidR="002E1AA7" w:rsidRPr="002F4565">
        <w:rPr>
          <w:lang w:val="pt-BR"/>
        </w:rPr>
        <w:t>comunidade</w:t>
      </w:r>
      <w:r w:rsidRPr="002F4565">
        <w:rPr>
          <w:lang w:val="pt-BR"/>
        </w:rPr>
        <w:t xml:space="preserve"> </w:t>
      </w:r>
      <w:r w:rsidR="00CA2BE3" w:rsidRPr="002F4565">
        <w:rPr>
          <w:lang w:val="pt-BR"/>
        </w:rPr>
        <w:t xml:space="preserve">internacional </w:t>
      </w:r>
      <w:r w:rsidR="00F21F55" w:rsidRPr="002F4565">
        <w:rPr>
          <w:lang w:val="pt-BR"/>
        </w:rPr>
        <w:t>também</w:t>
      </w:r>
      <w:r w:rsidRPr="002F4565">
        <w:rPr>
          <w:lang w:val="pt-BR"/>
        </w:rPr>
        <w:t xml:space="preserve"> </w:t>
      </w:r>
      <w:r w:rsidR="00CA2BE3" w:rsidRPr="002F4565">
        <w:rPr>
          <w:lang w:val="pt-BR"/>
        </w:rPr>
        <w:t xml:space="preserve">precisa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3C09F9" w:rsidRPr="002F4565">
        <w:rPr>
          <w:lang w:val="pt-BR"/>
        </w:rPr>
        <w:t>fabricantes de alimentos</w:t>
      </w:r>
      <w:r w:rsidRPr="002F4565">
        <w:rPr>
          <w:lang w:val="pt-BR"/>
        </w:rPr>
        <w:t xml:space="preserve"> </w:t>
      </w:r>
      <w:r w:rsidR="00CA2BE3" w:rsidRPr="002F4565">
        <w:rPr>
          <w:lang w:val="pt-BR"/>
        </w:rPr>
        <w:t xml:space="preserve">orientadas por </w:t>
      </w:r>
      <w:r w:rsidR="00182B8E" w:rsidRPr="002F4565">
        <w:rPr>
          <w:lang w:val="pt-BR"/>
        </w:rPr>
        <w:t>interesses</w:t>
      </w:r>
      <w:r w:rsidRPr="002F4565">
        <w:rPr>
          <w:lang w:val="pt-BR"/>
        </w:rPr>
        <w:t xml:space="preserve"> </w:t>
      </w:r>
      <w:r w:rsidR="00CA2BE3" w:rsidRPr="002F4565">
        <w:rPr>
          <w:lang w:val="pt-BR"/>
        </w:rPr>
        <w:t xml:space="preserve">comerciais </w:t>
      </w:r>
      <w:r w:rsidR="005A25F5" w:rsidRPr="002F4565">
        <w:rPr>
          <w:lang w:val="pt-BR"/>
        </w:rPr>
        <w:t>não</w:t>
      </w:r>
      <w:r w:rsidRPr="002F4565">
        <w:rPr>
          <w:lang w:val="pt-BR"/>
        </w:rPr>
        <w:t xml:space="preserve"> </w:t>
      </w:r>
      <w:r w:rsidR="007245D6" w:rsidRPr="002F4565">
        <w:rPr>
          <w:lang w:val="pt-BR"/>
        </w:rPr>
        <w:t xml:space="preserve">enfraqueçam </w:t>
      </w:r>
      <w:r w:rsidR="00261A8A" w:rsidRPr="002F4565">
        <w:rPr>
          <w:lang w:val="pt-BR"/>
        </w:rPr>
        <w:t>o</w:t>
      </w:r>
      <w:r w:rsidR="00CA2BE3" w:rsidRPr="002F4565">
        <w:rPr>
          <w:lang w:val="pt-BR"/>
        </w:rPr>
        <w:t>s</w:t>
      </w:r>
      <w:r w:rsidRPr="002F4565">
        <w:rPr>
          <w:lang w:val="pt-BR"/>
        </w:rPr>
        <w:t xml:space="preserve"> </w:t>
      </w:r>
      <w:r w:rsidR="00BF5705" w:rsidRPr="002F4565">
        <w:rPr>
          <w:lang w:val="pt-BR"/>
        </w:rPr>
        <w:t>esforço</w:t>
      </w:r>
      <w:r w:rsidRPr="002F4565">
        <w:rPr>
          <w:lang w:val="pt-BR"/>
        </w:rPr>
        <w:t xml:space="preserve">s </w:t>
      </w:r>
      <w:r w:rsidR="0049090C" w:rsidRPr="002F4565">
        <w:rPr>
          <w:lang w:val="pt-BR"/>
        </w:rPr>
        <w:t>d</w:t>
      </w:r>
      <w:r w:rsidR="00BA446D" w:rsidRPr="002F4565">
        <w:rPr>
          <w:lang w:val="pt-BR"/>
        </w:rPr>
        <w:t>os Estados</w:t>
      </w:r>
      <w:r w:rsidRPr="002F4565">
        <w:rPr>
          <w:lang w:val="pt-BR"/>
        </w:rPr>
        <w:t xml:space="preserve"> </w:t>
      </w:r>
      <w:r w:rsidR="00CA2BE3" w:rsidRPr="002F4565">
        <w:rPr>
          <w:lang w:val="pt-BR"/>
        </w:rPr>
        <w:t>de</w:t>
      </w:r>
      <w:r w:rsidRPr="002F4565">
        <w:rPr>
          <w:lang w:val="pt-BR"/>
        </w:rPr>
        <w:t xml:space="preserve"> </w:t>
      </w:r>
      <w:r w:rsidR="00CA2BE3" w:rsidRPr="002F4565">
        <w:rPr>
          <w:lang w:val="pt-BR"/>
        </w:rPr>
        <w:t xml:space="preserve">concretizar </w:t>
      </w:r>
      <w:r w:rsidR="007245D6" w:rsidRPr="002F4565">
        <w:rPr>
          <w:lang w:val="pt-BR"/>
        </w:rPr>
        <w:t xml:space="preserve">a fruição </w:t>
      </w:r>
      <w:r w:rsidR="00CA2BE3" w:rsidRPr="002F4565">
        <w:rPr>
          <w:lang w:val="pt-BR"/>
        </w:rPr>
        <w:t xml:space="preserve">dos mais elevados </w:t>
      </w:r>
      <w:r w:rsidR="00C47496" w:rsidRPr="002F4565">
        <w:rPr>
          <w:lang w:val="pt-BR"/>
        </w:rPr>
        <w:t>padrões</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saúde</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62. </w:t>
      </w:r>
      <w:r w:rsidR="00FB4DE4" w:rsidRPr="002F4565">
        <w:rPr>
          <w:lang w:val="pt-BR"/>
        </w:rPr>
        <w:t>No entanto</w:t>
      </w:r>
      <w:r w:rsidRPr="002F4565">
        <w:rPr>
          <w:lang w:val="pt-BR"/>
        </w:rPr>
        <w:t xml:space="preserve">, </w:t>
      </w:r>
      <w:r w:rsidR="00CA2BE3" w:rsidRPr="002F4565">
        <w:rPr>
          <w:lang w:val="pt-BR"/>
        </w:rPr>
        <w:t xml:space="preserve">o mero consenso </w:t>
      </w:r>
      <w:r w:rsidRPr="002F4565">
        <w:rPr>
          <w:lang w:val="pt-BR"/>
        </w:rPr>
        <w:t>pol</w:t>
      </w:r>
      <w:r w:rsidR="00CA2BE3" w:rsidRPr="002F4565">
        <w:rPr>
          <w:lang w:val="pt-BR"/>
        </w:rPr>
        <w:t>í</w:t>
      </w:r>
      <w:r w:rsidRPr="002F4565">
        <w:rPr>
          <w:lang w:val="pt-BR"/>
        </w:rPr>
        <w:t>tic</w:t>
      </w:r>
      <w:r w:rsidR="00CA2BE3" w:rsidRPr="002F4565">
        <w:rPr>
          <w:lang w:val="pt-BR"/>
        </w:rPr>
        <w:t xml:space="preserve">o talvez não seja suficiente para </w:t>
      </w:r>
      <w:r w:rsidR="007245D6" w:rsidRPr="002F4565">
        <w:rPr>
          <w:lang w:val="pt-BR"/>
        </w:rPr>
        <w:t xml:space="preserve">levar à </w:t>
      </w:r>
      <w:r w:rsidR="00F21F55" w:rsidRPr="002F4565">
        <w:rPr>
          <w:lang w:val="pt-BR"/>
        </w:rPr>
        <w:t>redução</w:t>
      </w:r>
      <w:r w:rsidRPr="002F4565">
        <w:rPr>
          <w:lang w:val="pt-BR"/>
        </w:rPr>
        <w:t xml:space="preserve"> </w:t>
      </w:r>
      <w:r w:rsidR="00CA2BE3" w:rsidRPr="002F4565">
        <w:rPr>
          <w:lang w:val="pt-BR"/>
        </w:rPr>
        <w:t xml:space="preserve">nas </w:t>
      </w:r>
      <w:r w:rsidR="0049090C" w:rsidRPr="002F4565">
        <w:rPr>
          <w:lang w:val="pt-BR"/>
        </w:rPr>
        <w:t>DNTs relacionadas com a dieta</w:t>
      </w:r>
      <w:r w:rsidRPr="002F4565">
        <w:rPr>
          <w:lang w:val="pt-BR"/>
        </w:rPr>
        <w:t xml:space="preserve">. </w:t>
      </w:r>
      <w:r w:rsidR="00CA2BE3" w:rsidRPr="002F4565">
        <w:rPr>
          <w:lang w:val="pt-BR"/>
        </w:rPr>
        <w:t>O</w:t>
      </w:r>
      <w:r w:rsidR="00BA446D" w:rsidRPr="002F4565">
        <w:rPr>
          <w:lang w:val="pt-BR"/>
        </w:rPr>
        <w:t>s Estados</w:t>
      </w:r>
      <w:r w:rsidRPr="002F4565">
        <w:rPr>
          <w:lang w:val="pt-BR"/>
        </w:rPr>
        <w:t xml:space="preserve">, </w:t>
      </w:r>
      <w:r w:rsidR="00CA2BE3" w:rsidRPr="002F4565">
        <w:rPr>
          <w:lang w:val="pt-BR"/>
        </w:rPr>
        <w:t xml:space="preserve">as </w:t>
      </w:r>
      <w:r w:rsidRPr="002F4565">
        <w:rPr>
          <w:lang w:val="pt-BR"/>
        </w:rPr>
        <w:t>organiz</w:t>
      </w:r>
      <w:r w:rsidR="00F21F55" w:rsidRPr="002F4565">
        <w:rPr>
          <w:lang w:val="pt-BR"/>
        </w:rPr>
        <w:t>ações</w:t>
      </w:r>
      <w:r w:rsidRPr="002F4565">
        <w:rPr>
          <w:lang w:val="pt-BR"/>
        </w:rPr>
        <w:t xml:space="preserve"> </w:t>
      </w:r>
      <w:r w:rsidR="00CA2BE3" w:rsidRPr="002F4565">
        <w:rPr>
          <w:lang w:val="pt-BR"/>
        </w:rPr>
        <w:t xml:space="preserve">intergovernamentais </w:t>
      </w:r>
      <w:r w:rsidR="0049090C" w:rsidRPr="002F4565">
        <w:rPr>
          <w:lang w:val="pt-BR"/>
        </w:rPr>
        <w:t>e</w:t>
      </w:r>
      <w:r w:rsidRPr="002F4565">
        <w:rPr>
          <w:lang w:val="pt-BR"/>
        </w:rPr>
        <w:t xml:space="preserve"> n</w:t>
      </w:r>
      <w:r w:rsidR="00CA2BE3" w:rsidRPr="002F4565">
        <w:rPr>
          <w:lang w:val="pt-BR"/>
        </w:rPr>
        <w:t xml:space="preserve">ão </w:t>
      </w:r>
      <w:r w:rsidR="003C09F9" w:rsidRPr="002F4565">
        <w:rPr>
          <w:lang w:val="pt-BR"/>
        </w:rPr>
        <w:t>govern</w:t>
      </w:r>
      <w:r w:rsidR="00CA2BE3" w:rsidRPr="002F4565">
        <w:rPr>
          <w:lang w:val="pt-BR"/>
        </w:rPr>
        <w:t xml:space="preserve">amentais </w:t>
      </w:r>
      <w:r w:rsidR="002E1AA7" w:rsidRPr="002F4565">
        <w:rPr>
          <w:lang w:val="pt-BR"/>
        </w:rPr>
        <w:t>devem</w:t>
      </w:r>
      <w:r w:rsidRPr="002F4565">
        <w:rPr>
          <w:lang w:val="pt-BR"/>
        </w:rPr>
        <w:t xml:space="preserve"> </w:t>
      </w:r>
      <w:r w:rsidR="00CA2BE3" w:rsidRPr="002F4565">
        <w:rPr>
          <w:lang w:val="pt-BR"/>
        </w:rPr>
        <w:t xml:space="preserve">se unir para combater esta </w:t>
      </w:r>
      <w:r w:rsidR="0040430A" w:rsidRPr="002F4565">
        <w:rPr>
          <w:lang w:val="pt-BR"/>
        </w:rPr>
        <w:t>epidemia</w:t>
      </w:r>
      <w:r w:rsidRPr="002F4565">
        <w:rPr>
          <w:lang w:val="pt-BR"/>
        </w:rPr>
        <w:t xml:space="preserve">. </w:t>
      </w:r>
      <w:r w:rsidR="00CA2BE3" w:rsidRPr="002F4565">
        <w:rPr>
          <w:lang w:val="pt-BR"/>
        </w:rPr>
        <w:t>O</w:t>
      </w:r>
      <w:r w:rsidR="00BA446D" w:rsidRPr="002F4565">
        <w:rPr>
          <w:lang w:val="pt-BR"/>
        </w:rPr>
        <w:t>s Estados</w:t>
      </w:r>
      <w:r w:rsidRPr="002F4565">
        <w:rPr>
          <w:lang w:val="pt-BR"/>
        </w:rPr>
        <w:t xml:space="preserve"> </w:t>
      </w:r>
      <w:r w:rsidR="00CA2BE3" w:rsidRPr="002F4565">
        <w:rPr>
          <w:lang w:val="pt-BR"/>
        </w:rPr>
        <w:t xml:space="preserve">precisam ter um plano com prazos específicos que determine as medidas </w:t>
      </w:r>
      <w:r w:rsidRPr="002F4565">
        <w:rPr>
          <w:lang w:val="pt-BR"/>
        </w:rPr>
        <w:t>concret</w:t>
      </w:r>
      <w:r w:rsidR="00CA2BE3" w:rsidRPr="002F4565">
        <w:rPr>
          <w:lang w:val="pt-BR"/>
        </w:rPr>
        <w:t xml:space="preserve">as a serem tomadas para atingir </w:t>
      </w:r>
      <w:r w:rsidR="00927F84" w:rsidRPr="002F4565">
        <w:rPr>
          <w:lang w:val="pt-BR"/>
        </w:rPr>
        <w:t>aos poucos</w:t>
      </w:r>
      <w:r w:rsidR="00CA2BE3" w:rsidRPr="002F4565">
        <w:rPr>
          <w:lang w:val="pt-BR"/>
        </w:rPr>
        <w:t>, individual e coletivamente, um</w:t>
      </w:r>
      <w:r w:rsidRPr="002F4565">
        <w:rPr>
          <w:lang w:val="pt-BR"/>
        </w:rPr>
        <w:t xml:space="preserve">a </w:t>
      </w:r>
      <w:r w:rsidR="00F21F55" w:rsidRPr="002F4565">
        <w:rPr>
          <w:lang w:val="pt-BR"/>
        </w:rPr>
        <w:t>redução</w:t>
      </w:r>
      <w:r w:rsidRPr="002F4565">
        <w:rPr>
          <w:lang w:val="pt-BR"/>
        </w:rPr>
        <w:t xml:space="preserve"> </w:t>
      </w:r>
      <w:r w:rsidR="00CA2BE3" w:rsidRPr="002F4565">
        <w:rPr>
          <w:lang w:val="pt-BR"/>
        </w:rPr>
        <w:t>global e doméstica no</w:t>
      </w:r>
      <w:r w:rsidRPr="002F4565">
        <w:rPr>
          <w:lang w:val="pt-BR"/>
        </w:rPr>
        <w:t xml:space="preserve"> </w:t>
      </w:r>
      <w:r w:rsidR="00F21F55" w:rsidRPr="002F4565">
        <w:rPr>
          <w:lang w:val="pt-BR"/>
        </w:rPr>
        <w:t>ônus</w:t>
      </w:r>
      <w:r w:rsidRPr="002F4565">
        <w:rPr>
          <w:lang w:val="pt-BR"/>
        </w:rPr>
        <w:t xml:space="preserve"> </w:t>
      </w:r>
      <w:r w:rsidR="0049090C" w:rsidRPr="002F4565">
        <w:rPr>
          <w:lang w:val="pt-BR"/>
        </w:rPr>
        <w:t>d</w:t>
      </w:r>
      <w:r w:rsidR="00CA2BE3" w:rsidRPr="002F4565">
        <w:rPr>
          <w:lang w:val="pt-BR"/>
        </w:rPr>
        <w:t>as</w:t>
      </w:r>
      <w:r w:rsidRPr="002F4565">
        <w:rPr>
          <w:lang w:val="pt-BR"/>
        </w:rPr>
        <w:t xml:space="preserve"> </w:t>
      </w:r>
      <w:r w:rsidR="0049090C" w:rsidRPr="002F4565">
        <w:rPr>
          <w:lang w:val="pt-BR"/>
        </w:rPr>
        <w:t>DNTs relacionadas com a dieta</w:t>
      </w:r>
      <w:r w:rsidRPr="002F4565">
        <w:rPr>
          <w:lang w:val="pt-BR"/>
        </w:rPr>
        <w:t xml:space="preserve">. </w:t>
      </w:r>
      <w:r w:rsidR="00CA2BE3" w:rsidRPr="002F4565">
        <w:rPr>
          <w:lang w:val="pt-BR"/>
        </w:rPr>
        <w:t xml:space="preserve">Para </w:t>
      </w:r>
      <w:r w:rsidRPr="002F4565">
        <w:rPr>
          <w:lang w:val="pt-BR"/>
        </w:rPr>
        <w:t>oper</w:t>
      </w:r>
      <w:r w:rsidR="00F21F55" w:rsidRPr="002F4565">
        <w:rPr>
          <w:lang w:val="pt-BR"/>
        </w:rPr>
        <w:t>a</w:t>
      </w:r>
      <w:r w:rsidR="00CA2BE3" w:rsidRPr="002F4565">
        <w:rPr>
          <w:lang w:val="pt-BR"/>
        </w:rPr>
        <w:t>cionalizar esta meta</w:t>
      </w:r>
      <w:r w:rsidRPr="002F4565">
        <w:rPr>
          <w:lang w:val="pt-BR"/>
        </w:rPr>
        <w:t xml:space="preserve">, </w:t>
      </w:r>
      <w:r w:rsidR="00BA446D" w:rsidRPr="002F4565">
        <w:rPr>
          <w:lang w:val="pt-BR"/>
        </w:rPr>
        <w:t>os Estados</w:t>
      </w:r>
      <w:r w:rsidRPr="002F4565">
        <w:rPr>
          <w:lang w:val="pt-BR"/>
        </w:rPr>
        <w:t xml:space="preserve"> </w:t>
      </w:r>
      <w:r w:rsidR="002E1AA7" w:rsidRPr="002F4565">
        <w:rPr>
          <w:lang w:val="pt-BR"/>
        </w:rPr>
        <w:t>devem</w:t>
      </w:r>
      <w:r w:rsidRPr="002F4565">
        <w:rPr>
          <w:lang w:val="pt-BR"/>
        </w:rPr>
        <w:t xml:space="preserve"> </w:t>
      </w:r>
      <w:r w:rsidR="002E1AA7" w:rsidRPr="002F4565">
        <w:rPr>
          <w:lang w:val="pt-BR"/>
        </w:rPr>
        <w:t>formular</w:t>
      </w:r>
      <w:r w:rsidRPr="002F4565">
        <w:rPr>
          <w:lang w:val="pt-BR"/>
        </w:rPr>
        <w:t xml:space="preserve"> </w:t>
      </w:r>
      <w:r w:rsidR="00C47496" w:rsidRPr="002F4565">
        <w:rPr>
          <w:lang w:val="pt-BR"/>
        </w:rPr>
        <w:t>indicadores</w:t>
      </w:r>
      <w:r w:rsidRPr="002F4565">
        <w:rPr>
          <w:lang w:val="pt-BR"/>
        </w:rPr>
        <w:t xml:space="preserve">, </w:t>
      </w:r>
      <w:r w:rsidR="00C47496" w:rsidRPr="002F4565">
        <w:rPr>
          <w:lang w:val="pt-BR"/>
        </w:rPr>
        <w:t>padrões de referência</w:t>
      </w:r>
      <w:r w:rsidRPr="002F4565">
        <w:rPr>
          <w:lang w:val="pt-BR"/>
        </w:rPr>
        <w:t xml:space="preserve"> </w:t>
      </w:r>
      <w:r w:rsidR="0049090C" w:rsidRPr="002F4565">
        <w:rPr>
          <w:lang w:val="pt-BR"/>
        </w:rPr>
        <w:t>e</w:t>
      </w:r>
      <w:r w:rsidRPr="002F4565">
        <w:rPr>
          <w:lang w:val="pt-BR"/>
        </w:rPr>
        <w:t xml:space="preserve"> </w:t>
      </w:r>
      <w:r w:rsidR="00F21F55" w:rsidRPr="002F4565">
        <w:rPr>
          <w:lang w:val="pt-BR"/>
        </w:rPr>
        <w:t>mecanismo</w:t>
      </w:r>
      <w:r w:rsidRPr="002F4565">
        <w:rPr>
          <w:lang w:val="pt-BR"/>
        </w:rPr>
        <w:t>s</w:t>
      </w:r>
      <w:r w:rsidR="00CA2BE3" w:rsidRPr="002F4565">
        <w:rPr>
          <w:lang w:val="pt-BR"/>
        </w:rPr>
        <w:t xml:space="preserve"> de responsabilização global e doméstica</w:t>
      </w:r>
      <w:r w:rsidRPr="002F4565">
        <w:rPr>
          <w:lang w:val="pt-BR"/>
        </w:rPr>
        <w:t xml:space="preserve">. </w:t>
      </w:r>
      <w:r w:rsidR="00CA2BE3" w:rsidRPr="002F4565">
        <w:rPr>
          <w:lang w:val="pt-BR"/>
        </w:rPr>
        <w:t>O</w:t>
      </w:r>
      <w:r w:rsidR="00BA446D" w:rsidRPr="002F4565">
        <w:rPr>
          <w:lang w:val="pt-BR"/>
        </w:rPr>
        <w:t>s Estados</w:t>
      </w:r>
      <w:r w:rsidRPr="002F4565">
        <w:rPr>
          <w:lang w:val="pt-BR"/>
        </w:rPr>
        <w:t xml:space="preserve"> </w:t>
      </w:r>
      <w:r w:rsidR="002E1AA7" w:rsidRPr="002F4565">
        <w:rPr>
          <w:lang w:val="pt-BR"/>
        </w:rPr>
        <w:t>devem</w:t>
      </w:r>
      <w:r w:rsidRPr="002F4565">
        <w:rPr>
          <w:lang w:val="pt-BR"/>
        </w:rPr>
        <w:t xml:space="preserve"> </w:t>
      </w:r>
      <w:r w:rsidR="00F21F55" w:rsidRPr="002F4565">
        <w:rPr>
          <w:lang w:val="pt-BR"/>
        </w:rPr>
        <w:t>também</w:t>
      </w:r>
      <w:r w:rsidRPr="002F4565">
        <w:rPr>
          <w:lang w:val="pt-BR"/>
        </w:rPr>
        <w:t xml:space="preserve"> </w:t>
      </w:r>
      <w:r w:rsidR="00CA2BE3" w:rsidRPr="002F4565">
        <w:rPr>
          <w:lang w:val="pt-BR"/>
        </w:rPr>
        <w:lastRenderedPageBreak/>
        <w:t xml:space="preserve">alocar recursos suficientes para reduzir </w:t>
      </w:r>
      <w:r w:rsidR="0049090C" w:rsidRPr="002F4565">
        <w:rPr>
          <w:lang w:val="pt-BR"/>
        </w:rPr>
        <w:t>e</w:t>
      </w:r>
      <w:r w:rsidRPr="002F4565">
        <w:rPr>
          <w:lang w:val="pt-BR"/>
        </w:rPr>
        <w:t xml:space="preserve"> preven</w:t>
      </w:r>
      <w:r w:rsidR="00CA2BE3" w:rsidRPr="002F4565">
        <w:rPr>
          <w:lang w:val="pt-BR"/>
        </w:rPr>
        <w:t>ir</w:t>
      </w:r>
      <w:r w:rsidRPr="002F4565">
        <w:rPr>
          <w:lang w:val="pt-BR"/>
        </w:rPr>
        <w:t xml:space="preserve"> </w:t>
      </w:r>
      <w:r w:rsidR="00CA2BE3" w:rsidRPr="002F4565">
        <w:rPr>
          <w:lang w:val="pt-BR"/>
        </w:rPr>
        <w:t>a</w:t>
      </w:r>
      <w:r w:rsidRPr="002F4565">
        <w:rPr>
          <w:lang w:val="pt-BR"/>
        </w:rPr>
        <w:t xml:space="preserve"> </w:t>
      </w:r>
      <w:r w:rsidR="0040430A" w:rsidRPr="002F4565">
        <w:rPr>
          <w:lang w:val="pt-BR"/>
        </w:rPr>
        <w:t>epidemia</w:t>
      </w:r>
      <w:r w:rsidRPr="002F4565">
        <w:rPr>
          <w:lang w:val="pt-BR"/>
        </w:rPr>
        <w:t xml:space="preserve"> </w:t>
      </w:r>
      <w:r w:rsidR="00CA2BE3" w:rsidRPr="002F4565">
        <w:rPr>
          <w:lang w:val="pt-BR"/>
        </w:rPr>
        <w:t xml:space="preserve">de obesidade, </w:t>
      </w:r>
      <w:r w:rsidR="00F21F55" w:rsidRPr="002F4565">
        <w:rPr>
          <w:lang w:val="pt-BR"/>
        </w:rPr>
        <w:t>assim como</w:t>
      </w:r>
      <w:r w:rsidRPr="002F4565">
        <w:rPr>
          <w:lang w:val="pt-BR"/>
        </w:rPr>
        <w:t xml:space="preserve"> </w:t>
      </w:r>
      <w:r w:rsidR="00261A8A" w:rsidRPr="002F4565">
        <w:rPr>
          <w:lang w:val="pt-BR"/>
        </w:rPr>
        <w:t>o</w:t>
      </w:r>
      <w:r w:rsidRPr="002F4565">
        <w:rPr>
          <w:lang w:val="pt-BR"/>
        </w:rPr>
        <w:t xml:space="preserve"> </w:t>
      </w:r>
      <w:r w:rsidR="00CA2BE3" w:rsidRPr="002F4565">
        <w:rPr>
          <w:lang w:val="pt-BR"/>
        </w:rPr>
        <w:t xml:space="preserve">crescente </w:t>
      </w:r>
      <w:r w:rsidR="00F21F55" w:rsidRPr="002F4565">
        <w:rPr>
          <w:lang w:val="pt-BR"/>
        </w:rPr>
        <w:t>ônus</w:t>
      </w:r>
      <w:r w:rsidRPr="002F4565">
        <w:rPr>
          <w:lang w:val="pt-BR"/>
        </w:rPr>
        <w:t xml:space="preserve"> </w:t>
      </w:r>
      <w:r w:rsidR="0049090C" w:rsidRPr="002F4565">
        <w:rPr>
          <w:lang w:val="pt-BR"/>
        </w:rPr>
        <w:t>d</w:t>
      </w:r>
      <w:r w:rsidR="00CA2BE3" w:rsidRPr="002F4565">
        <w:rPr>
          <w:lang w:val="pt-BR"/>
        </w:rPr>
        <w:t>as</w:t>
      </w:r>
      <w:r w:rsidRPr="002F4565">
        <w:rPr>
          <w:lang w:val="pt-BR"/>
        </w:rPr>
        <w:t xml:space="preserve"> </w:t>
      </w:r>
      <w:r w:rsidR="0049090C" w:rsidRPr="002F4565">
        <w:rPr>
          <w:lang w:val="pt-BR"/>
        </w:rPr>
        <w:t>DNTs relacionadas com a dieta</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X. </w:t>
      </w:r>
      <w:r w:rsidR="005A25F5" w:rsidRPr="002F4565">
        <w:rPr>
          <w:lang w:val="pt-BR"/>
        </w:rPr>
        <w:t>Conclusão</w:t>
      </w:r>
      <w:r w:rsidRPr="002F4565">
        <w:rPr>
          <w:lang w:val="pt-BR"/>
        </w:rPr>
        <w:t xml:space="preserve"> </w:t>
      </w:r>
      <w:r w:rsidR="0049090C" w:rsidRPr="002F4565">
        <w:rPr>
          <w:lang w:val="pt-BR"/>
        </w:rPr>
        <w:t>e</w:t>
      </w:r>
      <w:r w:rsidRPr="002F4565">
        <w:rPr>
          <w:lang w:val="pt-BR"/>
        </w:rPr>
        <w:t xml:space="preserve"> recomend</w:t>
      </w:r>
      <w:r w:rsidR="00F21F55" w:rsidRPr="002F4565">
        <w:rPr>
          <w:lang w:val="pt-BR"/>
        </w:rPr>
        <w:t>ações</w:t>
      </w:r>
    </w:p>
    <w:p w:rsidR="00115B91" w:rsidRPr="002F4565" w:rsidRDefault="00115B91" w:rsidP="0051636A">
      <w:pPr>
        <w:spacing w:before="120" w:after="0" w:line="240" w:lineRule="auto"/>
        <w:rPr>
          <w:lang w:val="pt-BR"/>
        </w:rPr>
      </w:pPr>
      <w:r w:rsidRPr="002F4565">
        <w:rPr>
          <w:lang w:val="pt-BR"/>
        </w:rPr>
        <w:t xml:space="preserve">63. </w:t>
      </w:r>
      <w:r w:rsidR="00CA2BE3" w:rsidRPr="002F4565">
        <w:rPr>
          <w:lang w:val="pt-BR"/>
        </w:rPr>
        <w:t xml:space="preserve">Ao cumprir suas </w:t>
      </w:r>
      <w:r w:rsidR="00F21F55" w:rsidRPr="002F4565">
        <w:rPr>
          <w:lang w:val="pt-BR"/>
        </w:rPr>
        <w:t>obrigações</w:t>
      </w:r>
      <w:r w:rsidRPr="002F4565">
        <w:rPr>
          <w:lang w:val="pt-BR"/>
        </w:rPr>
        <w:t xml:space="preserve"> </w:t>
      </w:r>
      <w:r w:rsidR="00CA2BE3" w:rsidRPr="002F4565">
        <w:rPr>
          <w:lang w:val="pt-BR"/>
        </w:rPr>
        <w:t>de</w:t>
      </w:r>
      <w:r w:rsidRPr="002F4565">
        <w:rPr>
          <w:lang w:val="pt-BR"/>
        </w:rPr>
        <w:t xml:space="preserve"> </w:t>
      </w:r>
      <w:r w:rsidR="00F21F55" w:rsidRPr="002F4565">
        <w:rPr>
          <w:lang w:val="pt-BR"/>
        </w:rPr>
        <w:t>respeit</w:t>
      </w:r>
      <w:r w:rsidR="00CA2BE3" w:rsidRPr="002F4565">
        <w:rPr>
          <w:lang w:val="pt-BR"/>
        </w:rPr>
        <w:t>ar</w:t>
      </w:r>
      <w:r w:rsidRPr="002F4565">
        <w:rPr>
          <w:lang w:val="pt-BR"/>
        </w:rPr>
        <w:t xml:space="preserve">, </w:t>
      </w:r>
      <w:r w:rsidR="00624BDC" w:rsidRPr="002F4565">
        <w:rPr>
          <w:lang w:val="pt-BR"/>
        </w:rPr>
        <w:t>proteger</w:t>
      </w:r>
      <w:r w:rsidRPr="002F4565">
        <w:rPr>
          <w:lang w:val="pt-BR"/>
        </w:rPr>
        <w:t xml:space="preserve"> </w:t>
      </w:r>
      <w:r w:rsidR="0049090C" w:rsidRPr="002F4565">
        <w:rPr>
          <w:lang w:val="pt-BR"/>
        </w:rPr>
        <w:t>e</w:t>
      </w:r>
      <w:r w:rsidRPr="002F4565">
        <w:rPr>
          <w:lang w:val="pt-BR"/>
        </w:rPr>
        <w:t xml:space="preserve"> </w:t>
      </w:r>
      <w:r w:rsidR="00927F84" w:rsidRPr="002F4565">
        <w:rPr>
          <w:lang w:val="pt-BR"/>
        </w:rPr>
        <w:t xml:space="preserve">fazer valer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BA446D" w:rsidRPr="002F4565">
        <w:rPr>
          <w:lang w:val="pt-BR"/>
        </w:rPr>
        <w:t>os Estados</w:t>
      </w:r>
      <w:r w:rsidRPr="002F4565">
        <w:rPr>
          <w:lang w:val="pt-BR"/>
        </w:rPr>
        <w:t xml:space="preserve"> </w:t>
      </w:r>
      <w:r w:rsidR="002E1AA7" w:rsidRPr="002F4565">
        <w:rPr>
          <w:lang w:val="pt-BR"/>
        </w:rPr>
        <w:t>devem</w:t>
      </w:r>
      <w:r w:rsidRPr="002F4565">
        <w:rPr>
          <w:lang w:val="pt-BR"/>
        </w:rPr>
        <w:t xml:space="preserve"> </w:t>
      </w:r>
      <w:r w:rsidR="002E1AA7" w:rsidRPr="002F4565">
        <w:rPr>
          <w:lang w:val="pt-BR"/>
        </w:rPr>
        <w:t>formular</w:t>
      </w:r>
      <w:r w:rsidRPr="002F4565">
        <w:rPr>
          <w:lang w:val="pt-BR"/>
        </w:rPr>
        <w:t xml:space="preserve"> </w:t>
      </w:r>
      <w:r w:rsidR="0049090C" w:rsidRPr="002F4565">
        <w:rPr>
          <w:lang w:val="pt-BR"/>
        </w:rPr>
        <w:t>e</w:t>
      </w:r>
      <w:r w:rsidRPr="002F4565">
        <w:rPr>
          <w:lang w:val="pt-BR"/>
        </w:rPr>
        <w:t xml:space="preserve"> </w:t>
      </w:r>
      <w:proofErr w:type="gramStart"/>
      <w:r w:rsidRPr="002F4565">
        <w:rPr>
          <w:lang w:val="pt-BR"/>
        </w:rPr>
        <w:t>implement</w:t>
      </w:r>
      <w:r w:rsidR="00CA2BE3" w:rsidRPr="002F4565">
        <w:rPr>
          <w:lang w:val="pt-BR"/>
        </w:rPr>
        <w:t>ar</w:t>
      </w:r>
      <w:proofErr w:type="gramEnd"/>
      <w:r w:rsidRPr="002F4565">
        <w:rPr>
          <w:lang w:val="pt-BR"/>
        </w:rPr>
        <w:t xml:space="preserve"> </w:t>
      </w:r>
      <w:r w:rsidR="00CA2BE3" w:rsidRPr="002F4565">
        <w:rPr>
          <w:lang w:val="pt-BR"/>
        </w:rPr>
        <w:t xml:space="preserve">uma </w:t>
      </w:r>
      <w:r w:rsidR="00C47496" w:rsidRPr="002F4565">
        <w:rPr>
          <w:lang w:val="pt-BR"/>
        </w:rPr>
        <w:t>estratégia</w:t>
      </w:r>
      <w:r w:rsidRPr="002F4565">
        <w:rPr>
          <w:lang w:val="pt-BR"/>
        </w:rPr>
        <w:t xml:space="preserve"> </w:t>
      </w:r>
      <w:r w:rsidR="00CA2BE3" w:rsidRPr="002F4565">
        <w:rPr>
          <w:lang w:val="pt-BR"/>
        </w:rPr>
        <w:t xml:space="preserve">nacional de saúde pública </w:t>
      </w:r>
      <w:r w:rsidR="0049090C" w:rsidRPr="002F4565">
        <w:rPr>
          <w:lang w:val="pt-BR"/>
        </w:rPr>
        <w:t>e</w:t>
      </w:r>
      <w:r w:rsidRPr="002F4565">
        <w:rPr>
          <w:lang w:val="pt-BR"/>
        </w:rPr>
        <w:t xml:space="preserve"> </w:t>
      </w:r>
      <w:r w:rsidR="00CA2BE3" w:rsidRPr="002F4565">
        <w:rPr>
          <w:lang w:val="pt-BR"/>
        </w:rPr>
        <w:t xml:space="preserve">um </w:t>
      </w:r>
      <w:r w:rsidR="00C47496" w:rsidRPr="002F4565">
        <w:rPr>
          <w:lang w:val="pt-BR"/>
        </w:rPr>
        <w:t>plano</w:t>
      </w:r>
      <w:r w:rsidRPr="002F4565">
        <w:rPr>
          <w:lang w:val="pt-BR"/>
        </w:rPr>
        <w:t xml:space="preserve"> </w:t>
      </w:r>
      <w:r w:rsidR="0049090C" w:rsidRPr="002F4565">
        <w:rPr>
          <w:lang w:val="pt-BR"/>
        </w:rPr>
        <w:t>de</w:t>
      </w:r>
      <w:r w:rsidRPr="002F4565">
        <w:rPr>
          <w:lang w:val="pt-BR"/>
        </w:rPr>
        <w:t xml:space="preserve"> </w:t>
      </w:r>
      <w:r w:rsidR="00C47496" w:rsidRPr="002F4565">
        <w:rPr>
          <w:lang w:val="pt-BR"/>
        </w:rPr>
        <w:t>ação</w:t>
      </w:r>
      <w:r w:rsidRPr="002F4565">
        <w:rPr>
          <w:lang w:val="pt-BR"/>
        </w:rPr>
        <w:t xml:space="preserve"> </w:t>
      </w:r>
      <w:r w:rsidR="00CA2BE3" w:rsidRPr="002F4565">
        <w:rPr>
          <w:lang w:val="pt-BR"/>
        </w:rPr>
        <w:t xml:space="preserve">para abordar as </w:t>
      </w:r>
      <w:r w:rsidR="0049090C" w:rsidRPr="002F4565">
        <w:rPr>
          <w:lang w:val="pt-BR"/>
        </w:rPr>
        <w:t>DNTs relacionadas com a dieta</w:t>
      </w:r>
      <w:r w:rsidRPr="002F4565">
        <w:rPr>
          <w:lang w:val="pt-BR"/>
        </w:rPr>
        <w:t xml:space="preserve">, </w:t>
      </w:r>
      <w:r w:rsidR="00CA2BE3" w:rsidRPr="002F4565">
        <w:rPr>
          <w:lang w:val="pt-BR"/>
        </w:rPr>
        <w:t xml:space="preserve">que </w:t>
      </w:r>
      <w:r w:rsidR="002E1AA7" w:rsidRPr="002F4565">
        <w:rPr>
          <w:lang w:val="pt-BR"/>
        </w:rPr>
        <w:t>devem ser</w:t>
      </w:r>
      <w:r w:rsidRPr="002F4565">
        <w:rPr>
          <w:lang w:val="pt-BR"/>
        </w:rPr>
        <w:t xml:space="preserve"> </w:t>
      </w:r>
      <w:r w:rsidR="00CA2BE3" w:rsidRPr="002F4565">
        <w:rPr>
          <w:lang w:val="pt-BR"/>
        </w:rPr>
        <w:t xml:space="preserve">amplamente </w:t>
      </w:r>
      <w:r w:rsidRPr="002F4565">
        <w:rPr>
          <w:lang w:val="pt-BR"/>
        </w:rPr>
        <w:t>dissemina</w:t>
      </w:r>
      <w:r w:rsidR="00CA2BE3" w:rsidRPr="002F4565">
        <w:rPr>
          <w:lang w:val="pt-BR"/>
        </w:rPr>
        <w:t>dos</w:t>
      </w:r>
      <w:r w:rsidRPr="002F4565">
        <w:rPr>
          <w:lang w:val="pt-BR"/>
        </w:rPr>
        <w:t xml:space="preserve">. </w:t>
      </w:r>
      <w:r w:rsidR="00CA2BE3" w:rsidRPr="002F4565">
        <w:rPr>
          <w:lang w:val="pt-BR"/>
        </w:rPr>
        <w:t xml:space="preserve">A </w:t>
      </w:r>
      <w:r w:rsidR="00C47496" w:rsidRPr="002F4565">
        <w:rPr>
          <w:lang w:val="pt-BR"/>
        </w:rPr>
        <w:t>estratégia</w:t>
      </w:r>
      <w:r w:rsidRPr="002F4565">
        <w:rPr>
          <w:lang w:val="pt-BR"/>
        </w:rPr>
        <w:t xml:space="preserve"> </w:t>
      </w:r>
      <w:r w:rsidR="002E1AA7" w:rsidRPr="002F4565">
        <w:rPr>
          <w:lang w:val="pt-BR"/>
        </w:rPr>
        <w:t>deve</w:t>
      </w:r>
      <w:r w:rsidRPr="002F4565">
        <w:rPr>
          <w:lang w:val="pt-BR"/>
        </w:rPr>
        <w:t xml:space="preserve"> </w:t>
      </w:r>
      <w:r w:rsidR="00CA2BE3" w:rsidRPr="002F4565">
        <w:rPr>
          <w:lang w:val="pt-BR"/>
        </w:rPr>
        <w:t xml:space="preserve">reconhecer </w:t>
      </w:r>
      <w:r w:rsidR="00261A8A" w:rsidRPr="002F4565">
        <w:rPr>
          <w:lang w:val="pt-BR"/>
        </w:rPr>
        <w:t>o</w:t>
      </w:r>
      <w:r w:rsidRPr="002F4565">
        <w:rPr>
          <w:lang w:val="pt-BR"/>
        </w:rPr>
        <w:t xml:space="preserve"> </w:t>
      </w:r>
      <w:r w:rsidR="00CA2BE3" w:rsidRPr="002F4565">
        <w:rPr>
          <w:lang w:val="pt-BR"/>
        </w:rPr>
        <w:t xml:space="preserve">vínculo </w:t>
      </w:r>
      <w:r w:rsidR="00261A8A" w:rsidRPr="002F4565">
        <w:rPr>
          <w:lang w:val="pt-BR"/>
        </w:rPr>
        <w:t>entre</w:t>
      </w:r>
      <w:r w:rsidRPr="002F4565">
        <w:rPr>
          <w:lang w:val="pt-BR"/>
        </w:rPr>
        <w:t xml:space="preserve"> </w:t>
      </w:r>
      <w:r w:rsidR="00261A8A" w:rsidRPr="002F4565">
        <w:rPr>
          <w:lang w:val="pt-BR"/>
        </w:rPr>
        <w:t>alimentos pouco saudáveis</w:t>
      </w:r>
      <w:r w:rsidRPr="002F4565">
        <w:rPr>
          <w:lang w:val="pt-BR"/>
        </w:rPr>
        <w:t xml:space="preserve"> </w:t>
      </w:r>
      <w:r w:rsidR="0049090C" w:rsidRPr="002F4565">
        <w:rPr>
          <w:lang w:val="pt-BR"/>
        </w:rPr>
        <w:t>e</w:t>
      </w:r>
      <w:r w:rsidRPr="002F4565">
        <w:rPr>
          <w:lang w:val="pt-BR"/>
        </w:rPr>
        <w:t xml:space="preserve"> </w:t>
      </w:r>
      <w:r w:rsidR="00927F84" w:rsidRPr="002F4565">
        <w:rPr>
          <w:lang w:val="pt-BR"/>
        </w:rPr>
        <w:t xml:space="preserve">as </w:t>
      </w:r>
      <w:r w:rsidR="0049090C" w:rsidRPr="002F4565">
        <w:rPr>
          <w:lang w:val="pt-BR"/>
        </w:rPr>
        <w:t>DNT</w:t>
      </w:r>
      <w:r w:rsidRPr="002F4565">
        <w:rPr>
          <w:lang w:val="pt-BR"/>
        </w:rPr>
        <w:t>s</w:t>
      </w:r>
      <w:r w:rsidR="00CA2BE3" w:rsidRPr="002F4565">
        <w:rPr>
          <w:lang w:val="pt-BR"/>
        </w:rPr>
        <w:t xml:space="preserve"> e</w:t>
      </w:r>
      <w:r w:rsidRPr="002F4565">
        <w:rPr>
          <w:lang w:val="pt-BR"/>
        </w:rPr>
        <w:t xml:space="preserve">, </w:t>
      </w:r>
      <w:r w:rsidR="00CA2BE3" w:rsidRPr="002F4565">
        <w:rPr>
          <w:lang w:val="pt-BR"/>
        </w:rPr>
        <w:t xml:space="preserve">ao mesmo tempo, abordar </w:t>
      </w:r>
      <w:r w:rsidR="00927F84" w:rsidRPr="002F4565">
        <w:rPr>
          <w:lang w:val="pt-BR"/>
        </w:rPr>
        <w:t xml:space="preserve">especificamente </w:t>
      </w:r>
      <w:r w:rsidR="00CA2BE3" w:rsidRPr="002F4565">
        <w:rPr>
          <w:lang w:val="pt-BR"/>
        </w:rPr>
        <w:t xml:space="preserve">falhas </w:t>
      </w:r>
      <w:r w:rsidR="0049090C" w:rsidRPr="002F4565">
        <w:rPr>
          <w:lang w:val="pt-BR"/>
        </w:rPr>
        <w:t>estruturais</w:t>
      </w:r>
      <w:r w:rsidRPr="002F4565">
        <w:rPr>
          <w:lang w:val="pt-BR"/>
        </w:rPr>
        <w:t xml:space="preserve"> </w:t>
      </w:r>
      <w:r w:rsidR="00CA2BE3" w:rsidRPr="002F4565">
        <w:rPr>
          <w:lang w:val="pt-BR"/>
        </w:rPr>
        <w:t xml:space="preserve">na </w:t>
      </w:r>
      <w:r w:rsidR="00F21F55" w:rsidRPr="002F4565">
        <w:rPr>
          <w:lang w:val="pt-BR"/>
        </w:rPr>
        <w:t>produção</w:t>
      </w:r>
      <w:r w:rsidRPr="002F4565">
        <w:rPr>
          <w:lang w:val="pt-BR"/>
        </w:rPr>
        <w:t xml:space="preserve">, </w:t>
      </w:r>
      <w:r w:rsidR="00CA2BE3" w:rsidRPr="002F4565">
        <w:rPr>
          <w:lang w:val="pt-BR"/>
        </w:rPr>
        <w:t xml:space="preserve">comercialização e vendas </w:t>
      </w:r>
      <w:r w:rsidR="00927F84" w:rsidRPr="002F4565">
        <w:rPr>
          <w:lang w:val="pt-BR"/>
        </w:rPr>
        <w:t xml:space="preserve">no </w:t>
      </w:r>
      <w:r w:rsidR="00CA2BE3" w:rsidRPr="002F4565">
        <w:rPr>
          <w:lang w:val="pt-BR"/>
        </w:rPr>
        <w:t>varej</w:t>
      </w:r>
      <w:r w:rsidR="00927F84" w:rsidRPr="002F4565">
        <w:rPr>
          <w:lang w:val="pt-BR"/>
        </w:rPr>
        <w:t>o</w:t>
      </w:r>
      <w:r w:rsidR="00CA2BE3" w:rsidRPr="002F4565">
        <w:rPr>
          <w:lang w:val="pt-BR"/>
        </w:rPr>
        <w:t xml:space="preserve"> de alimentos </w:t>
      </w:r>
      <w:r w:rsidR="006A31E1" w:rsidRPr="002F4565">
        <w:rPr>
          <w:lang w:val="pt-BR"/>
        </w:rPr>
        <w:t>que</w:t>
      </w:r>
      <w:r w:rsidRPr="002F4565">
        <w:rPr>
          <w:lang w:val="pt-BR"/>
        </w:rPr>
        <w:t xml:space="preserve"> promo</w:t>
      </w:r>
      <w:r w:rsidR="00CA2BE3" w:rsidRPr="002F4565">
        <w:rPr>
          <w:lang w:val="pt-BR"/>
        </w:rPr>
        <w:t>v</w:t>
      </w:r>
      <w:r w:rsidR="00B94A3A" w:rsidRPr="002F4565">
        <w:rPr>
          <w:lang w:val="pt-BR"/>
        </w:rPr>
        <w:t>e</w:t>
      </w:r>
      <w:r w:rsidR="00CA2BE3" w:rsidRPr="002F4565">
        <w:rPr>
          <w:lang w:val="pt-BR"/>
        </w:rPr>
        <w:t>m</w:t>
      </w:r>
      <w:r w:rsidRPr="002F4565">
        <w:rPr>
          <w:lang w:val="pt-BR"/>
        </w:rPr>
        <w:t xml:space="preserve"> </w:t>
      </w:r>
      <w:r w:rsidR="00CA2BE3" w:rsidRPr="002F4565">
        <w:rPr>
          <w:lang w:val="pt-BR"/>
        </w:rPr>
        <w:t>a</w:t>
      </w:r>
      <w:r w:rsidRPr="002F4565">
        <w:rPr>
          <w:lang w:val="pt-BR"/>
        </w:rPr>
        <w:t xml:space="preserve">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acessi</w:t>
      </w:r>
      <w:r w:rsidR="0049090C" w:rsidRPr="002F4565">
        <w:rPr>
          <w:lang w:val="pt-BR"/>
        </w:rPr>
        <w:t>bilidade</w:t>
      </w:r>
      <w:r w:rsidRPr="002F4565">
        <w:rPr>
          <w:lang w:val="pt-BR"/>
        </w:rPr>
        <w:t xml:space="preserve"> </w:t>
      </w:r>
      <w:r w:rsidR="00927F84" w:rsidRPr="002F4565">
        <w:rPr>
          <w:lang w:val="pt-BR"/>
        </w:rPr>
        <w:t>a</w:t>
      </w:r>
      <w:r w:rsidRPr="002F4565">
        <w:rPr>
          <w:lang w:val="pt-BR"/>
        </w:rPr>
        <w:t xml:space="preserve"> </w:t>
      </w:r>
      <w:r w:rsidR="00261A8A" w:rsidRPr="002F4565">
        <w:rPr>
          <w:lang w:val="pt-BR"/>
        </w:rPr>
        <w:t>alimentos pouco saudáveis</w:t>
      </w:r>
      <w:r w:rsidRPr="002F4565">
        <w:rPr>
          <w:lang w:val="pt-BR"/>
        </w:rPr>
        <w:t xml:space="preserve"> </w:t>
      </w:r>
      <w:r w:rsidR="00B94A3A" w:rsidRPr="002F4565">
        <w:rPr>
          <w:lang w:val="pt-BR"/>
        </w:rPr>
        <w:t xml:space="preserve">em detrimento de </w:t>
      </w:r>
      <w:r w:rsidR="00F21F55" w:rsidRPr="002F4565">
        <w:rPr>
          <w:lang w:val="pt-BR"/>
        </w:rPr>
        <w:t>opções</w:t>
      </w:r>
      <w:r w:rsidR="00B94A3A" w:rsidRPr="002F4565">
        <w:rPr>
          <w:lang w:val="pt-BR"/>
        </w:rPr>
        <w:t xml:space="preserve"> mais saudáveis</w:t>
      </w:r>
      <w:r w:rsidRPr="002F4565">
        <w:rPr>
          <w:lang w:val="pt-BR"/>
        </w:rPr>
        <w:t xml:space="preserve">. </w:t>
      </w:r>
      <w:r w:rsidR="00B94A3A" w:rsidRPr="002F4565">
        <w:rPr>
          <w:lang w:val="pt-BR"/>
        </w:rPr>
        <w:t>Para este fim</w:t>
      </w:r>
      <w:r w:rsidRPr="002F4565">
        <w:rPr>
          <w:lang w:val="pt-BR"/>
        </w:rPr>
        <w:t xml:space="preserve">, </w:t>
      </w:r>
      <w:r w:rsidR="00BA446D" w:rsidRPr="002F4565">
        <w:rPr>
          <w:lang w:val="pt-BR"/>
        </w:rPr>
        <w:t>os Estados</w:t>
      </w:r>
      <w:r w:rsidRPr="002F4565">
        <w:rPr>
          <w:lang w:val="pt-BR"/>
        </w:rPr>
        <w:t xml:space="preserve"> </w:t>
      </w:r>
      <w:r w:rsidR="002E1AA7" w:rsidRPr="002F4565">
        <w:rPr>
          <w:lang w:val="pt-BR"/>
        </w:rPr>
        <w:t>devem</w:t>
      </w:r>
      <w:r w:rsidRPr="002F4565">
        <w:rPr>
          <w:lang w:val="pt-BR"/>
        </w:rPr>
        <w:t xml:space="preserve"> </w:t>
      </w:r>
      <w:r w:rsidR="007D4857" w:rsidRPr="002F4565">
        <w:rPr>
          <w:lang w:val="pt-BR"/>
        </w:rPr>
        <w:t>necessariamente</w:t>
      </w:r>
      <w:r w:rsidRPr="002F4565">
        <w:rPr>
          <w:lang w:val="pt-BR"/>
        </w:rPr>
        <w:t xml:space="preserve"> </w:t>
      </w:r>
      <w:r w:rsidR="00B94A3A" w:rsidRPr="002F4565">
        <w:rPr>
          <w:lang w:val="pt-BR"/>
        </w:rPr>
        <w:t xml:space="preserve">desenvolver </w:t>
      </w:r>
      <w:r w:rsidR="002E1AA7" w:rsidRPr="002F4565">
        <w:rPr>
          <w:lang w:val="pt-BR"/>
        </w:rPr>
        <w:t>abordagens</w:t>
      </w:r>
      <w:r w:rsidRPr="002F4565">
        <w:rPr>
          <w:lang w:val="pt-BR"/>
        </w:rPr>
        <w:t xml:space="preserve"> </w:t>
      </w:r>
      <w:r w:rsidR="0063433D" w:rsidRPr="002F4565">
        <w:rPr>
          <w:lang w:val="pt-BR"/>
        </w:rPr>
        <w:t>multisetoriais</w:t>
      </w:r>
      <w:r w:rsidR="00B94A3A" w:rsidRPr="002F4565">
        <w:rPr>
          <w:lang w:val="pt-BR"/>
        </w:rPr>
        <w:t xml:space="preserve"> </w:t>
      </w:r>
      <w:r w:rsidR="006A31E1" w:rsidRPr="002F4565">
        <w:rPr>
          <w:lang w:val="pt-BR"/>
        </w:rPr>
        <w:t>que</w:t>
      </w:r>
      <w:r w:rsidRPr="002F4565">
        <w:rPr>
          <w:lang w:val="pt-BR"/>
        </w:rPr>
        <w:t xml:space="preserve"> inclu</w:t>
      </w:r>
      <w:r w:rsidR="00B94A3A" w:rsidRPr="002F4565">
        <w:rPr>
          <w:lang w:val="pt-BR"/>
        </w:rPr>
        <w:t xml:space="preserve">am todos os respectivos ministérios como o ministério da </w:t>
      </w:r>
      <w:r w:rsidR="0049090C" w:rsidRPr="002F4565">
        <w:rPr>
          <w:lang w:val="pt-BR"/>
        </w:rPr>
        <w:t>saúde</w:t>
      </w:r>
      <w:r w:rsidRPr="002F4565">
        <w:rPr>
          <w:lang w:val="pt-BR"/>
        </w:rPr>
        <w:t>, agricultur</w:t>
      </w:r>
      <w:r w:rsidR="00B94A3A" w:rsidRPr="002F4565">
        <w:rPr>
          <w:lang w:val="pt-BR"/>
        </w:rPr>
        <w:t>a</w:t>
      </w:r>
      <w:r w:rsidRPr="002F4565">
        <w:rPr>
          <w:lang w:val="pt-BR"/>
        </w:rPr>
        <w:t>, fin</w:t>
      </w:r>
      <w:r w:rsidR="00B94A3A" w:rsidRPr="002F4565">
        <w:rPr>
          <w:lang w:val="pt-BR"/>
        </w:rPr>
        <w:t>anças</w:t>
      </w:r>
      <w:r w:rsidRPr="002F4565">
        <w:rPr>
          <w:lang w:val="pt-BR"/>
        </w:rPr>
        <w:t xml:space="preserve">, </w:t>
      </w:r>
      <w:r w:rsidR="00802E44" w:rsidRPr="002F4565">
        <w:rPr>
          <w:lang w:val="pt-BR"/>
        </w:rPr>
        <w:t>indústria</w:t>
      </w:r>
      <w:r w:rsidRPr="002F4565">
        <w:rPr>
          <w:lang w:val="pt-BR"/>
        </w:rPr>
        <w:t xml:space="preserve"> </w:t>
      </w:r>
      <w:r w:rsidR="0049090C" w:rsidRPr="002F4565">
        <w:rPr>
          <w:lang w:val="pt-BR"/>
        </w:rPr>
        <w:t>e</w:t>
      </w:r>
      <w:r w:rsidRPr="002F4565">
        <w:rPr>
          <w:lang w:val="pt-BR"/>
        </w:rPr>
        <w:t xml:space="preserve"> </w:t>
      </w:r>
      <w:r w:rsidR="00BA446D" w:rsidRPr="002F4565">
        <w:rPr>
          <w:lang w:val="pt-BR"/>
        </w:rPr>
        <w:t>comércio</w:t>
      </w:r>
      <w:r w:rsidRPr="002F4565">
        <w:rPr>
          <w:lang w:val="pt-BR"/>
        </w:rPr>
        <w:t xml:space="preserve">. </w:t>
      </w:r>
      <w:r w:rsidR="00B94A3A" w:rsidRPr="002F4565">
        <w:rPr>
          <w:lang w:val="pt-BR"/>
        </w:rPr>
        <w:t>O</w:t>
      </w:r>
      <w:r w:rsidR="00BA446D" w:rsidRPr="002F4565">
        <w:rPr>
          <w:lang w:val="pt-BR"/>
        </w:rPr>
        <w:t>s</w:t>
      </w:r>
      <w:r w:rsidR="00B94A3A" w:rsidRPr="002F4565">
        <w:rPr>
          <w:lang w:val="pt-BR"/>
        </w:rPr>
        <w:t xml:space="preserve"> </w:t>
      </w:r>
      <w:r w:rsidR="00BA446D" w:rsidRPr="002F4565">
        <w:rPr>
          <w:lang w:val="pt-BR"/>
        </w:rPr>
        <w:t>Estados</w:t>
      </w:r>
      <w:r w:rsidRPr="002F4565">
        <w:rPr>
          <w:lang w:val="pt-BR"/>
        </w:rPr>
        <w:t xml:space="preserve"> </w:t>
      </w:r>
      <w:r w:rsidR="002E1AA7" w:rsidRPr="002F4565">
        <w:rPr>
          <w:lang w:val="pt-BR"/>
        </w:rPr>
        <w:t>devem</w:t>
      </w:r>
      <w:r w:rsidRPr="002F4565">
        <w:rPr>
          <w:lang w:val="pt-BR"/>
        </w:rPr>
        <w:t xml:space="preserve"> </w:t>
      </w:r>
      <w:r w:rsidR="00F21F55" w:rsidRPr="002F4565">
        <w:rPr>
          <w:lang w:val="pt-BR"/>
        </w:rPr>
        <w:t>também</w:t>
      </w:r>
      <w:r w:rsidRPr="002F4565">
        <w:rPr>
          <w:lang w:val="pt-BR"/>
        </w:rPr>
        <w:t xml:space="preserve"> </w:t>
      </w:r>
      <w:r w:rsidR="006A31E1" w:rsidRPr="002F4565">
        <w:rPr>
          <w:lang w:val="pt-BR"/>
        </w:rPr>
        <w:t>garantir</w:t>
      </w:r>
      <w:r w:rsidRPr="002F4565">
        <w:rPr>
          <w:lang w:val="pt-BR"/>
        </w:rPr>
        <w:t xml:space="preserve"> </w:t>
      </w:r>
      <w:r w:rsidR="00927F84" w:rsidRPr="002F4565">
        <w:rPr>
          <w:lang w:val="pt-BR"/>
        </w:rPr>
        <w:t xml:space="preserve">a </w:t>
      </w:r>
      <w:r w:rsidRPr="002F4565">
        <w:rPr>
          <w:lang w:val="pt-BR"/>
        </w:rPr>
        <w:t>particip</w:t>
      </w:r>
      <w:r w:rsidR="00F21F55" w:rsidRPr="002F4565">
        <w:rPr>
          <w:lang w:val="pt-BR"/>
        </w:rPr>
        <w:t>ação</w:t>
      </w:r>
      <w:r w:rsidRPr="002F4565">
        <w:rPr>
          <w:lang w:val="pt-BR"/>
        </w:rPr>
        <w:t xml:space="preserve"> </w:t>
      </w:r>
      <w:r w:rsidR="00B94A3A" w:rsidRPr="002F4565">
        <w:rPr>
          <w:lang w:val="pt-BR"/>
        </w:rPr>
        <w:t xml:space="preserve">significativa e eficaz </w:t>
      </w:r>
      <w:r w:rsidR="0049090C" w:rsidRPr="002F4565">
        <w:rPr>
          <w:lang w:val="pt-BR"/>
        </w:rPr>
        <w:t>d</w:t>
      </w:r>
      <w:r w:rsidR="00B94A3A" w:rsidRPr="002F4565">
        <w:rPr>
          <w:lang w:val="pt-BR"/>
        </w:rPr>
        <w:t>as</w:t>
      </w:r>
      <w:r w:rsidRPr="002F4565">
        <w:rPr>
          <w:lang w:val="pt-BR"/>
        </w:rPr>
        <w:t xml:space="preserve"> </w:t>
      </w:r>
      <w:r w:rsidR="00140D97" w:rsidRPr="002F4565">
        <w:rPr>
          <w:lang w:val="pt-BR"/>
        </w:rPr>
        <w:t>comunidades</w:t>
      </w:r>
      <w:r w:rsidRPr="002F4565">
        <w:rPr>
          <w:lang w:val="pt-BR"/>
        </w:rPr>
        <w:t xml:space="preserve"> </w:t>
      </w:r>
      <w:r w:rsidR="00B94A3A" w:rsidRPr="002F4565">
        <w:rPr>
          <w:lang w:val="pt-BR"/>
        </w:rPr>
        <w:t xml:space="preserve">afetadas como, por exemplo, </w:t>
      </w:r>
      <w:r w:rsidR="00182B8E" w:rsidRPr="002F4565">
        <w:rPr>
          <w:lang w:val="pt-BR"/>
        </w:rPr>
        <w:t>produtores rurais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 xml:space="preserve">grupos vulneráveis </w:t>
      </w:r>
      <w:r w:rsidR="00B94A3A" w:rsidRPr="002F4565">
        <w:rPr>
          <w:lang w:val="pt-BR"/>
        </w:rPr>
        <w:t xml:space="preserve">como </w:t>
      </w:r>
      <w:r w:rsidR="00802E44" w:rsidRPr="002F4565">
        <w:rPr>
          <w:lang w:val="pt-BR"/>
        </w:rPr>
        <w:t>crianças</w:t>
      </w:r>
      <w:r w:rsidRPr="002F4565">
        <w:rPr>
          <w:lang w:val="pt-BR"/>
        </w:rPr>
        <w:t xml:space="preserve">, </w:t>
      </w:r>
      <w:r w:rsidR="00802E44" w:rsidRPr="002F4565">
        <w:rPr>
          <w:lang w:val="pt-BR"/>
        </w:rPr>
        <w:t>mulheres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grupos de baixa renda</w:t>
      </w:r>
      <w:r w:rsidRPr="002F4565">
        <w:rPr>
          <w:lang w:val="pt-BR"/>
        </w:rPr>
        <w:t xml:space="preserve"> </w:t>
      </w:r>
      <w:r w:rsidR="00FB4DE4" w:rsidRPr="002F4565">
        <w:rPr>
          <w:lang w:val="pt-BR"/>
        </w:rPr>
        <w:t>em</w:t>
      </w:r>
      <w:r w:rsidRPr="002F4565">
        <w:rPr>
          <w:lang w:val="pt-BR"/>
        </w:rPr>
        <w:t xml:space="preserve"> </w:t>
      </w:r>
      <w:r w:rsidR="00B94A3A" w:rsidRPr="002F4565">
        <w:rPr>
          <w:lang w:val="pt-BR"/>
        </w:rPr>
        <w:t xml:space="preserve">todos os </w:t>
      </w:r>
      <w:r w:rsidR="003F41C2" w:rsidRPr="002F4565">
        <w:rPr>
          <w:lang w:val="pt-BR"/>
        </w:rPr>
        <w:t>níveis</w:t>
      </w:r>
      <w:r w:rsidRPr="002F4565">
        <w:rPr>
          <w:lang w:val="pt-BR"/>
        </w:rPr>
        <w:t xml:space="preserve"> </w:t>
      </w:r>
      <w:r w:rsidR="0049090C" w:rsidRPr="002F4565">
        <w:rPr>
          <w:lang w:val="pt-BR"/>
        </w:rPr>
        <w:t>de</w:t>
      </w:r>
      <w:r w:rsidRPr="002F4565">
        <w:rPr>
          <w:lang w:val="pt-BR"/>
        </w:rPr>
        <w:t xml:space="preserve"> </w:t>
      </w:r>
      <w:r w:rsidR="00624BDC" w:rsidRPr="002F4565">
        <w:rPr>
          <w:lang w:val="pt-BR"/>
        </w:rPr>
        <w:t>tomada de decisão</w:t>
      </w:r>
      <w:r w:rsidRPr="002F4565">
        <w:rPr>
          <w:lang w:val="pt-BR"/>
        </w:rPr>
        <w:t xml:space="preserve"> </w:t>
      </w:r>
      <w:r w:rsidR="00B94A3A" w:rsidRPr="002F4565">
        <w:rPr>
          <w:lang w:val="pt-BR"/>
        </w:rPr>
        <w:t xml:space="preserve">para desestimular a </w:t>
      </w:r>
      <w:r w:rsidR="00F21F55" w:rsidRPr="002F4565">
        <w:rPr>
          <w:lang w:val="pt-BR"/>
        </w:rPr>
        <w:t>produção</w:t>
      </w:r>
      <w:r w:rsidRPr="002F4565">
        <w:rPr>
          <w:lang w:val="pt-BR"/>
        </w:rPr>
        <w:t xml:space="preserve"> </w:t>
      </w:r>
      <w:r w:rsidR="0049090C" w:rsidRPr="002F4565">
        <w:rPr>
          <w:lang w:val="pt-BR"/>
        </w:rPr>
        <w:t>e</w:t>
      </w:r>
      <w:r w:rsidRPr="002F4565">
        <w:rPr>
          <w:lang w:val="pt-BR"/>
        </w:rPr>
        <w:t xml:space="preserve">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49090C" w:rsidRPr="002F4565">
        <w:rPr>
          <w:lang w:val="pt-BR"/>
        </w:rPr>
        <w:t>e</w:t>
      </w:r>
      <w:r w:rsidRPr="002F4565">
        <w:rPr>
          <w:lang w:val="pt-BR"/>
        </w:rPr>
        <w:t xml:space="preserve"> promo</w:t>
      </w:r>
      <w:r w:rsidR="00B94A3A" w:rsidRPr="002F4565">
        <w:rPr>
          <w:lang w:val="pt-BR"/>
        </w:rPr>
        <w:t>ver a</w:t>
      </w:r>
      <w:r w:rsidRPr="002F4565">
        <w:rPr>
          <w:lang w:val="pt-BR"/>
        </w:rPr>
        <w:t xml:space="preserve">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acessi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F21F55" w:rsidRPr="002F4565">
        <w:rPr>
          <w:lang w:val="pt-BR"/>
        </w:rPr>
        <w:t>opções</w:t>
      </w:r>
      <w:r w:rsidR="00B94A3A" w:rsidRPr="002F4565">
        <w:rPr>
          <w:lang w:val="pt-BR"/>
        </w:rPr>
        <w:t xml:space="preserve"> alimentares mais saudáveis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64. </w:t>
      </w:r>
      <w:r w:rsidR="00B94A3A" w:rsidRPr="002F4565">
        <w:rPr>
          <w:lang w:val="pt-BR"/>
        </w:rPr>
        <w:t xml:space="preserve">Com o objetivo de </w:t>
      </w:r>
      <w:r w:rsidR="00F21F55" w:rsidRPr="002F4565">
        <w:rPr>
          <w:lang w:val="pt-BR"/>
        </w:rPr>
        <w:t>respeit</w:t>
      </w:r>
      <w:r w:rsidR="00B94A3A" w:rsidRPr="002F4565">
        <w:rPr>
          <w:lang w:val="pt-BR"/>
        </w:rPr>
        <w:t>ar</w:t>
      </w:r>
      <w:r w:rsidRPr="002F4565">
        <w:rPr>
          <w:lang w:val="pt-BR"/>
        </w:rPr>
        <w:t>, prote</w:t>
      </w:r>
      <w:r w:rsidR="00B94A3A" w:rsidRPr="002F4565">
        <w:rPr>
          <w:lang w:val="pt-BR"/>
        </w:rPr>
        <w:t xml:space="preserve">ger </w:t>
      </w:r>
      <w:r w:rsidR="0049090C" w:rsidRPr="002F4565">
        <w:rPr>
          <w:lang w:val="pt-BR"/>
        </w:rPr>
        <w:t>e</w:t>
      </w:r>
      <w:r w:rsidRPr="002F4565">
        <w:rPr>
          <w:lang w:val="pt-BR"/>
        </w:rPr>
        <w:t xml:space="preserve"> </w:t>
      </w:r>
      <w:r w:rsidR="00927F84" w:rsidRPr="002F4565">
        <w:rPr>
          <w:lang w:val="pt-BR"/>
        </w:rPr>
        <w:t xml:space="preserve">fazer valer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261A8A" w:rsidRPr="002F4565">
        <w:rPr>
          <w:lang w:val="pt-BR"/>
        </w:rPr>
        <w:t>o</w:t>
      </w:r>
      <w:r w:rsidRPr="002F4565">
        <w:rPr>
          <w:lang w:val="pt-BR"/>
        </w:rPr>
        <w:t xml:space="preserve"> </w:t>
      </w:r>
      <w:r w:rsidR="00261A8A" w:rsidRPr="002F4565">
        <w:rPr>
          <w:lang w:val="pt-BR"/>
        </w:rPr>
        <w:t>Relator Especial</w:t>
      </w:r>
      <w:r w:rsidRPr="002F4565">
        <w:rPr>
          <w:lang w:val="pt-BR"/>
        </w:rPr>
        <w:t xml:space="preserve"> recomend</w:t>
      </w:r>
      <w:r w:rsidR="00B94A3A" w:rsidRPr="002F4565">
        <w:rPr>
          <w:lang w:val="pt-BR"/>
        </w:rPr>
        <w:t>a</w:t>
      </w:r>
      <w:r w:rsidRPr="002F4565">
        <w:rPr>
          <w:lang w:val="pt-BR"/>
        </w:rPr>
        <w:t xml:space="preserve"> </w:t>
      </w:r>
      <w:r w:rsidR="006A31E1" w:rsidRPr="002F4565">
        <w:rPr>
          <w:lang w:val="pt-BR"/>
        </w:rPr>
        <w:t>que</w:t>
      </w:r>
      <w:r w:rsidRPr="002F4565">
        <w:rPr>
          <w:lang w:val="pt-BR"/>
        </w:rPr>
        <w:t xml:space="preserve"> </w:t>
      </w:r>
      <w:r w:rsidR="00BA446D" w:rsidRPr="002F4565">
        <w:rPr>
          <w:lang w:val="pt-BR"/>
        </w:rPr>
        <w:t>os Estados</w:t>
      </w:r>
      <w:r w:rsidRPr="002F4565">
        <w:rPr>
          <w:lang w:val="pt-BR"/>
        </w:rPr>
        <w:t xml:space="preserve"> </w:t>
      </w:r>
      <w:r w:rsidR="00B94A3A" w:rsidRPr="002F4565">
        <w:rPr>
          <w:lang w:val="pt-BR"/>
        </w:rPr>
        <w:t>tomem as seguintes medidas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(a) </w:t>
      </w:r>
      <w:r w:rsidR="00B94A3A" w:rsidRPr="002F4565">
        <w:rPr>
          <w:lang w:val="pt-BR"/>
        </w:rPr>
        <w:t xml:space="preserve">Aumentar a </w:t>
      </w:r>
      <w:r w:rsidR="0049090C" w:rsidRPr="002F4565">
        <w:rPr>
          <w:lang w:val="pt-BR"/>
        </w:rPr>
        <w:t>disponibilidade</w:t>
      </w:r>
      <w:r w:rsidRPr="002F4565">
        <w:rPr>
          <w:lang w:val="pt-BR"/>
        </w:rPr>
        <w:t xml:space="preserve"> </w:t>
      </w:r>
      <w:r w:rsidR="0049090C" w:rsidRPr="002F4565">
        <w:rPr>
          <w:lang w:val="pt-BR"/>
        </w:rPr>
        <w:t>e</w:t>
      </w:r>
      <w:r w:rsidRPr="002F4565">
        <w:rPr>
          <w:lang w:val="pt-BR"/>
        </w:rPr>
        <w:t xml:space="preserve"> acessi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F21F55" w:rsidRPr="002F4565">
        <w:rPr>
          <w:lang w:val="pt-BR"/>
        </w:rPr>
        <w:t>alternativas</w:t>
      </w:r>
      <w:r w:rsidRPr="002F4565">
        <w:rPr>
          <w:lang w:val="pt-BR"/>
        </w:rPr>
        <w:t xml:space="preserve"> </w:t>
      </w:r>
      <w:r w:rsidR="00B94A3A" w:rsidRPr="002F4565">
        <w:rPr>
          <w:lang w:val="pt-BR"/>
        </w:rPr>
        <w:t xml:space="preserve">alimentares mais saudáveis por meio de </w:t>
      </w:r>
      <w:r w:rsidR="0049090C" w:rsidRPr="002F4565">
        <w:rPr>
          <w:lang w:val="pt-BR"/>
        </w:rPr>
        <w:t>políticas</w:t>
      </w:r>
      <w:r w:rsidRPr="002F4565">
        <w:rPr>
          <w:lang w:val="pt-BR"/>
        </w:rPr>
        <w:t xml:space="preserve"> </w:t>
      </w:r>
      <w:r w:rsidR="00B94A3A" w:rsidRPr="002F4565">
        <w:rPr>
          <w:lang w:val="pt-BR"/>
        </w:rPr>
        <w:t xml:space="preserve">fiscais e agrícolas </w:t>
      </w:r>
      <w:r w:rsidR="006A31E1" w:rsidRPr="002F4565">
        <w:rPr>
          <w:lang w:val="pt-BR"/>
        </w:rPr>
        <w:t>que</w:t>
      </w:r>
      <w:r w:rsidRPr="002F4565">
        <w:rPr>
          <w:lang w:val="pt-BR"/>
        </w:rPr>
        <w:t xml:space="preserve"> </w:t>
      </w:r>
      <w:r w:rsidR="00B94A3A" w:rsidRPr="002F4565">
        <w:rPr>
          <w:lang w:val="pt-BR"/>
        </w:rPr>
        <w:t xml:space="preserve">desestimulem a </w:t>
      </w:r>
      <w:r w:rsidR="00F21F55" w:rsidRPr="002F4565">
        <w:rPr>
          <w:lang w:val="pt-BR"/>
        </w:rPr>
        <w:t>produção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B94A3A" w:rsidRPr="002F4565">
        <w:rPr>
          <w:lang w:val="pt-BR"/>
        </w:rPr>
        <w:t xml:space="preserve">Também tomar medidas para </w:t>
      </w:r>
      <w:r w:rsidRPr="002F4565">
        <w:rPr>
          <w:lang w:val="pt-BR"/>
        </w:rPr>
        <w:t>incentiv</w:t>
      </w:r>
      <w:r w:rsidR="00B94A3A" w:rsidRPr="002F4565">
        <w:rPr>
          <w:lang w:val="pt-BR"/>
        </w:rPr>
        <w:t>ar os</w:t>
      </w:r>
      <w:r w:rsidRPr="002F4565">
        <w:rPr>
          <w:lang w:val="pt-BR"/>
        </w:rPr>
        <w:t xml:space="preserve"> </w:t>
      </w:r>
      <w:r w:rsidR="00182B8E" w:rsidRPr="002F4565">
        <w:rPr>
          <w:lang w:val="pt-BR"/>
        </w:rPr>
        <w:t>produtores rurais</w:t>
      </w:r>
      <w:r w:rsidRPr="002F4565">
        <w:rPr>
          <w:lang w:val="pt-BR"/>
        </w:rPr>
        <w:t xml:space="preserve"> </w:t>
      </w:r>
      <w:r w:rsidR="00B94A3A" w:rsidRPr="002F4565">
        <w:rPr>
          <w:lang w:val="pt-BR"/>
        </w:rPr>
        <w:t xml:space="preserve">a cultivar </w:t>
      </w:r>
      <w:r w:rsidR="00B5729E" w:rsidRPr="002F4565">
        <w:rPr>
          <w:lang w:val="pt-BR"/>
        </w:rPr>
        <w:t>produto</w:t>
      </w:r>
      <w:r w:rsidRPr="002F4565">
        <w:rPr>
          <w:lang w:val="pt-BR"/>
        </w:rPr>
        <w:t>s</w:t>
      </w:r>
      <w:r w:rsidR="00B94A3A" w:rsidRPr="002F4565">
        <w:rPr>
          <w:lang w:val="pt-BR"/>
        </w:rPr>
        <w:t xml:space="preserve"> mais saudáveis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(b) </w:t>
      </w:r>
      <w:r w:rsidR="00B94A3A" w:rsidRPr="002F4565">
        <w:rPr>
          <w:lang w:val="pt-BR"/>
        </w:rPr>
        <w:t xml:space="preserve">Disponibilizar </w:t>
      </w:r>
      <w:r w:rsidR="00FB4401" w:rsidRPr="002F4565">
        <w:rPr>
          <w:lang w:val="pt-BR"/>
        </w:rPr>
        <w:t xml:space="preserve">alimentos </w:t>
      </w:r>
      <w:r w:rsidR="00B94A3A" w:rsidRPr="002F4565">
        <w:rPr>
          <w:lang w:val="pt-BR"/>
        </w:rPr>
        <w:t xml:space="preserve">nutritivos e </w:t>
      </w:r>
      <w:r w:rsidR="00FB4401" w:rsidRPr="002F4565">
        <w:rPr>
          <w:lang w:val="pt-BR"/>
        </w:rPr>
        <w:t>saudáveis</w:t>
      </w:r>
      <w:r w:rsidRPr="002F4565">
        <w:rPr>
          <w:lang w:val="pt-BR"/>
        </w:rPr>
        <w:t xml:space="preserve"> </w:t>
      </w:r>
      <w:r w:rsidR="0049090C" w:rsidRPr="002F4565">
        <w:rPr>
          <w:lang w:val="pt-BR"/>
        </w:rPr>
        <w:t>e</w:t>
      </w:r>
      <w:r w:rsidRPr="002F4565">
        <w:rPr>
          <w:lang w:val="pt-BR"/>
        </w:rPr>
        <w:t xml:space="preserve"> </w:t>
      </w:r>
      <w:r w:rsidR="00B94A3A" w:rsidRPr="002F4565">
        <w:rPr>
          <w:lang w:val="pt-BR"/>
        </w:rPr>
        <w:t>torn</w:t>
      </w:r>
      <w:r w:rsidR="00927F84" w:rsidRPr="002F4565">
        <w:rPr>
          <w:lang w:val="pt-BR"/>
        </w:rPr>
        <w:t>á</w:t>
      </w:r>
      <w:r w:rsidR="00B94A3A" w:rsidRPr="002F4565">
        <w:rPr>
          <w:lang w:val="pt-BR"/>
        </w:rPr>
        <w:t xml:space="preserve">-los </w:t>
      </w:r>
      <w:r w:rsidRPr="002F4565">
        <w:rPr>
          <w:lang w:val="pt-BR"/>
        </w:rPr>
        <w:t>geogr</w:t>
      </w:r>
      <w:r w:rsidR="00B94A3A" w:rsidRPr="002F4565">
        <w:rPr>
          <w:lang w:val="pt-BR"/>
        </w:rPr>
        <w:t xml:space="preserve">áfica </w:t>
      </w:r>
      <w:r w:rsidR="0049090C" w:rsidRPr="002F4565">
        <w:rPr>
          <w:lang w:val="pt-BR"/>
        </w:rPr>
        <w:t>e</w:t>
      </w:r>
      <w:r w:rsidRPr="002F4565">
        <w:rPr>
          <w:lang w:val="pt-BR"/>
        </w:rPr>
        <w:t xml:space="preserve"> </w:t>
      </w:r>
      <w:r w:rsidR="00B94A3A" w:rsidRPr="002F4565">
        <w:rPr>
          <w:lang w:val="pt-BR"/>
        </w:rPr>
        <w:t xml:space="preserve">economicamente </w:t>
      </w:r>
      <w:r w:rsidR="00624BDC" w:rsidRPr="002F4565">
        <w:rPr>
          <w:lang w:val="pt-BR"/>
        </w:rPr>
        <w:t>acessíveis</w:t>
      </w:r>
      <w:r w:rsidRPr="002F4565">
        <w:rPr>
          <w:lang w:val="pt-BR"/>
        </w:rPr>
        <w:t>, espe</w:t>
      </w:r>
      <w:r w:rsidR="000E48EB" w:rsidRPr="002F4565">
        <w:rPr>
          <w:lang w:val="pt-BR"/>
        </w:rPr>
        <w:t>cialmente</w:t>
      </w:r>
      <w:r w:rsidRPr="002F4565">
        <w:rPr>
          <w:lang w:val="pt-BR"/>
        </w:rPr>
        <w:t xml:space="preserve"> </w:t>
      </w:r>
      <w:r w:rsidR="00B94A3A" w:rsidRPr="002F4565">
        <w:rPr>
          <w:lang w:val="pt-BR"/>
        </w:rPr>
        <w:t xml:space="preserve">para </w:t>
      </w:r>
      <w:r w:rsidR="00802E44" w:rsidRPr="002F4565">
        <w:rPr>
          <w:lang w:val="pt-BR"/>
        </w:rPr>
        <w:t>grupos de baixa renda</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(c) </w:t>
      </w:r>
      <w:r w:rsidR="00B94A3A" w:rsidRPr="002F4565">
        <w:rPr>
          <w:lang w:val="pt-BR"/>
        </w:rPr>
        <w:t xml:space="preserve">Fornecer </w:t>
      </w:r>
      <w:r w:rsidR="00F21F55" w:rsidRPr="002F4565">
        <w:rPr>
          <w:lang w:val="pt-BR"/>
        </w:rPr>
        <w:t>informações</w:t>
      </w:r>
      <w:r w:rsidRPr="002F4565">
        <w:rPr>
          <w:lang w:val="pt-BR"/>
        </w:rPr>
        <w:t xml:space="preserve"> </w:t>
      </w:r>
      <w:r w:rsidR="00F21F55" w:rsidRPr="002F4565">
        <w:rPr>
          <w:lang w:val="pt-BR"/>
        </w:rPr>
        <w:t>sobre</w:t>
      </w:r>
      <w:r w:rsidRPr="002F4565">
        <w:rPr>
          <w:lang w:val="pt-BR"/>
        </w:rPr>
        <w:t xml:space="preserve"> </w:t>
      </w:r>
      <w:r w:rsidR="00261A8A" w:rsidRPr="002F4565">
        <w:rPr>
          <w:lang w:val="pt-BR"/>
        </w:rPr>
        <w:t>o</w:t>
      </w:r>
      <w:r w:rsidR="00B94A3A" w:rsidRPr="002F4565">
        <w:rPr>
          <w:lang w:val="pt-BR"/>
        </w:rPr>
        <w:t>s</w:t>
      </w:r>
      <w:r w:rsidRPr="002F4565">
        <w:rPr>
          <w:lang w:val="pt-BR"/>
        </w:rPr>
        <w:t xml:space="preserve"> </w:t>
      </w:r>
      <w:r w:rsidR="00B94A3A" w:rsidRPr="002F4565">
        <w:rPr>
          <w:lang w:val="pt-BR"/>
        </w:rPr>
        <w:t xml:space="preserve">efeitos </w:t>
      </w:r>
      <w:r w:rsidR="00927F84" w:rsidRPr="002F4565">
        <w:rPr>
          <w:lang w:val="pt-BR"/>
        </w:rPr>
        <w:t xml:space="preserve">prejudiciais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xml:space="preserve"> </w:t>
      </w:r>
      <w:r w:rsidR="0049090C" w:rsidRPr="002F4565">
        <w:rPr>
          <w:lang w:val="pt-BR"/>
        </w:rPr>
        <w:t>e</w:t>
      </w:r>
      <w:r w:rsidRPr="002F4565">
        <w:rPr>
          <w:lang w:val="pt-BR"/>
        </w:rPr>
        <w:t xml:space="preserve"> </w:t>
      </w:r>
      <w:r w:rsidR="00F21F55" w:rsidRPr="002F4565">
        <w:rPr>
          <w:lang w:val="pt-BR"/>
        </w:rPr>
        <w:t>conscientiza</w:t>
      </w:r>
      <w:r w:rsidR="00B94A3A" w:rsidRPr="002F4565">
        <w:rPr>
          <w:lang w:val="pt-BR"/>
        </w:rPr>
        <w:t xml:space="preserve">r sobre </w:t>
      </w:r>
      <w:r w:rsidR="00261A8A" w:rsidRPr="002F4565">
        <w:rPr>
          <w:lang w:val="pt-BR"/>
        </w:rPr>
        <w:t>o</w:t>
      </w:r>
      <w:r w:rsidR="00B94A3A" w:rsidRPr="002F4565">
        <w:rPr>
          <w:lang w:val="pt-BR"/>
        </w:rPr>
        <w:t>s</w:t>
      </w:r>
      <w:r w:rsidRPr="002F4565">
        <w:rPr>
          <w:lang w:val="pt-BR"/>
        </w:rPr>
        <w:t xml:space="preserve"> </w:t>
      </w:r>
      <w:r w:rsidR="00072E1E" w:rsidRPr="002F4565">
        <w:rPr>
          <w:lang w:val="pt-BR"/>
        </w:rPr>
        <w:t>benefício</w:t>
      </w:r>
      <w:r w:rsidRPr="002F4565">
        <w:rPr>
          <w:lang w:val="pt-BR"/>
        </w:rPr>
        <w:t xml:space="preserve">s </w:t>
      </w:r>
      <w:r w:rsidR="0049090C" w:rsidRPr="002F4565">
        <w:rPr>
          <w:lang w:val="pt-BR"/>
        </w:rPr>
        <w:t>de</w:t>
      </w:r>
      <w:r w:rsidRPr="002F4565">
        <w:rPr>
          <w:lang w:val="pt-BR"/>
        </w:rPr>
        <w:t xml:space="preserve"> </w:t>
      </w:r>
      <w:r w:rsidR="0040430A" w:rsidRPr="002F4565">
        <w:rPr>
          <w:lang w:val="pt-BR"/>
        </w:rPr>
        <w:t>dietas</w:t>
      </w:r>
      <w:r w:rsidRPr="002F4565">
        <w:rPr>
          <w:lang w:val="pt-BR"/>
        </w:rPr>
        <w:t xml:space="preserve"> </w:t>
      </w:r>
      <w:r w:rsidR="00B94A3A" w:rsidRPr="002F4565">
        <w:rPr>
          <w:lang w:val="pt-BR"/>
        </w:rPr>
        <w:t xml:space="preserve">equilibradas </w:t>
      </w:r>
      <w:r w:rsidR="0049090C" w:rsidRPr="002F4565">
        <w:rPr>
          <w:lang w:val="pt-BR"/>
        </w:rPr>
        <w:t>e</w:t>
      </w:r>
      <w:r w:rsidRPr="002F4565">
        <w:rPr>
          <w:lang w:val="pt-BR"/>
        </w:rPr>
        <w:t xml:space="preserve"> </w:t>
      </w:r>
      <w:r w:rsidR="00FB4401" w:rsidRPr="002F4565">
        <w:rPr>
          <w:lang w:val="pt-BR"/>
        </w:rPr>
        <w:t>alimentos saudáveis</w:t>
      </w:r>
      <w:r w:rsidRPr="002F4565">
        <w:rPr>
          <w:lang w:val="pt-BR"/>
        </w:rPr>
        <w:t xml:space="preserve"> </w:t>
      </w:r>
      <w:r w:rsidR="00B94A3A" w:rsidRPr="002F4565">
        <w:rPr>
          <w:lang w:val="pt-BR"/>
        </w:rPr>
        <w:t xml:space="preserve">para </w:t>
      </w:r>
      <w:r w:rsidRPr="002F4565">
        <w:rPr>
          <w:lang w:val="pt-BR"/>
        </w:rPr>
        <w:t>promo</w:t>
      </w:r>
      <w:r w:rsidR="00B94A3A" w:rsidRPr="002F4565">
        <w:rPr>
          <w:lang w:val="pt-BR"/>
        </w:rPr>
        <w:t>ver</w:t>
      </w:r>
      <w:r w:rsidRPr="002F4565">
        <w:rPr>
          <w:lang w:val="pt-BR"/>
        </w:rPr>
        <w:t xml:space="preserve"> </w:t>
      </w:r>
      <w:r w:rsidR="00B94A3A" w:rsidRPr="002F4565">
        <w:rPr>
          <w:lang w:val="pt-BR"/>
        </w:rPr>
        <w:t xml:space="preserve">o </w:t>
      </w:r>
      <w:r w:rsidR="0049090C" w:rsidRPr="002F4565">
        <w:rPr>
          <w:lang w:val="pt-BR"/>
        </w:rPr>
        <w:t>consumo</w:t>
      </w:r>
      <w:r w:rsidRPr="002F4565">
        <w:rPr>
          <w:lang w:val="pt-BR"/>
        </w:rPr>
        <w:t xml:space="preserve"> </w:t>
      </w:r>
      <w:r w:rsidR="0049090C" w:rsidRPr="002F4565">
        <w:rPr>
          <w:lang w:val="pt-BR"/>
        </w:rPr>
        <w:t>de</w:t>
      </w:r>
      <w:r w:rsidRPr="002F4565">
        <w:rPr>
          <w:lang w:val="pt-BR"/>
        </w:rPr>
        <w:t xml:space="preserve"> </w:t>
      </w:r>
      <w:r w:rsidR="00182B8E" w:rsidRPr="002F4565">
        <w:rPr>
          <w:lang w:val="pt-BR"/>
        </w:rPr>
        <w:t>alimentos mais saudáveis</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(d) </w:t>
      </w:r>
      <w:r w:rsidR="00072E1E" w:rsidRPr="002F4565">
        <w:rPr>
          <w:lang w:val="pt-BR"/>
        </w:rPr>
        <w:t>Adotar</w:t>
      </w:r>
      <w:r w:rsidRPr="002F4565">
        <w:rPr>
          <w:lang w:val="pt-BR"/>
        </w:rPr>
        <w:t>, impl</w:t>
      </w:r>
      <w:r w:rsidR="00927F84" w:rsidRPr="002F4565">
        <w:rPr>
          <w:lang w:val="pt-BR"/>
        </w:rPr>
        <w:t>a</w:t>
      </w:r>
      <w:r w:rsidRPr="002F4565">
        <w:rPr>
          <w:lang w:val="pt-BR"/>
        </w:rPr>
        <w:t>nt</w:t>
      </w:r>
      <w:r w:rsidR="00B94A3A" w:rsidRPr="002F4565">
        <w:rPr>
          <w:lang w:val="pt-BR"/>
        </w:rPr>
        <w:t>ar</w:t>
      </w:r>
      <w:r w:rsidRPr="002F4565">
        <w:rPr>
          <w:lang w:val="pt-BR"/>
        </w:rPr>
        <w:t xml:space="preserve"> </w:t>
      </w:r>
      <w:r w:rsidR="0049090C" w:rsidRPr="002F4565">
        <w:rPr>
          <w:lang w:val="pt-BR"/>
        </w:rPr>
        <w:t>e</w:t>
      </w:r>
      <w:r w:rsidRPr="002F4565">
        <w:rPr>
          <w:lang w:val="pt-BR"/>
        </w:rPr>
        <w:t xml:space="preserve"> </w:t>
      </w:r>
      <w:r w:rsidR="00B94A3A" w:rsidRPr="002F4565">
        <w:rPr>
          <w:lang w:val="pt-BR"/>
        </w:rPr>
        <w:t xml:space="preserve">aplicar </w:t>
      </w:r>
      <w:r w:rsidR="00C47496" w:rsidRPr="002F4565">
        <w:rPr>
          <w:lang w:val="pt-BR"/>
        </w:rPr>
        <w:t>requisitos</w:t>
      </w:r>
      <w:r w:rsidR="00B94A3A" w:rsidRPr="002F4565">
        <w:rPr>
          <w:lang w:val="pt-BR"/>
        </w:rPr>
        <w:t xml:space="preserve"> de perfis de rotulagem e nutricional, fáceis de entender, como a </w:t>
      </w:r>
      <w:r w:rsidR="00072E1E" w:rsidRPr="002F4565">
        <w:rPr>
          <w:lang w:val="pt-BR"/>
        </w:rPr>
        <w:t>rotulagem</w:t>
      </w:r>
      <w:r w:rsidR="00B94A3A" w:rsidRPr="002F4565">
        <w:rPr>
          <w:lang w:val="pt-BR"/>
        </w:rPr>
        <w:t xml:space="preserve"> tipo “semáforo”</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(e) </w:t>
      </w:r>
      <w:r w:rsidR="00B94A3A" w:rsidRPr="002F4565">
        <w:rPr>
          <w:lang w:val="pt-BR"/>
        </w:rPr>
        <w:t xml:space="preserve">Estimular as </w:t>
      </w:r>
      <w:r w:rsidRPr="002F4565">
        <w:rPr>
          <w:lang w:val="pt-BR"/>
        </w:rPr>
        <w:t xml:space="preserve">TNCs, </w:t>
      </w:r>
      <w:r w:rsidR="00B94A3A" w:rsidRPr="002F4565">
        <w:rPr>
          <w:lang w:val="pt-BR"/>
        </w:rPr>
        <w:t xml:space="preserve">por meio de </w:t>
      </w:r>
      <w:r w:rsidRPr="002F4565">
        <w:rPr>
          <w:lang w:val="pt-BR"/>
        </w:rPr>
        <w:t>incentiv</w:t>
      </w:r>
      <w:r w:rsidR="00B94A3A" w:rsidRPr="002F4565">
        <w:rPr>
          <w:lang w:val="pt-BR"/>
        </w:rPr>
        <w:t>o</w:t>
      </w:r>
      <w:r w:rsidRPr="002F4565">
        <w:rPr>
          <w:lang w:val="pt-BR"/>
        </w:rPr>
        <w:t xml:space="preserve">s </w:t>
      </w:r>
      <w:r w:rsidR="0049090C" w:rsidRPr="002F4565">
        <w:rPr>
          <w:lang w:val="pt-BR"/>
        </w:rPr>
        <w:t>e</w:t>
      </w:r>
      <w:r w:rsidRPr="002F4565">
        <w:rPr>
          <w:lang w:val="pt-BR"/>
        </w:rPr>
        <w:t xml:space="preserve"> </w:t>
      </w:r>
      <w:r w:rsidR="003F41C2" w:rsidRPr="002F4565">
        <w:rPr>
          <w:lang w:val="pt-BR"/>
        </w:rPr>
        <w:t>outr</w:t>
      </w:r>
      <w:r w:rsidR="00B94A3A" w:rsidRPr="002F4565">
        <w:rPr>
          <w:lang w:val="pt-BR"/>
        </w:rPr>
        <w:t xml:space="preserve">as medidas </w:t>
      </w:r>
      <w:r w:rsidRPr="002F4565">
        <w:rPr>
          <w:lang w:val="pt-BR"/>
        </w:rPr>
        <w:t>fisca</w:t>
      </w:r>
      <w:r w:rsidR="00B94A3A" w:rsidRPr="002F4565">
        <w:rPr>
          <w:lang w:val="pt-BR"/>
        </w:rPr>
        <w:t>is</w:t>
      </w:r>
      <w:r w:rsidRPr="002F4565">
        <w:rPr>
          <w:lang w:val="pt-BR"/>
        </w:rPr>
        <w:t xml:space="preserve">, </w:t>
      </w:r>
      <w:r w:rsidR="00B94A3A" w:rsidRPr="002F4565">
        <w:rPr>
          <w:lang w:val="pt-BR"/>
        </w:rPr>
        <w:t xml:space="preserve">a fabricar </w:t>
      </w:r>
      <w:r w:rsidR="0049090C" w:rsidRPr="002F4565">
        <w:rPr>
          <w:lang w:val="pt-BR"/>
        </w:rPr>
        <w:t>e</w:t>
      </w:r>
      <w:r w:rsidRPr="002F4565">
        <w:rPr>
          <w:lang w:val="pt-BR"/>
        </w:rPr>
        <w:t xml:space="preserve"> </w:t>
      </w:r>
      <w:r w:rsidR="00B94A3A" w:rsidRPr="002F4565">
        <w:rPr>
          <w:lang w:val="pt-BR"/>
        </w:rPr>
        <w:t xml:space="preserve">vender </w:t>
      </w:r>
      <w:r w:rsidR="00F21F55" w:rsidRPr="002F4565">
        <w:rPr>
          <w:lang w:val="pt-BR"/>
        </w:rPr>
        <w:t>alternativas</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bebida</w:t>
      </w:r>
      <w:r w:rsidRPr="002F4565">
        <w:rPr>
          <w:lang w:val="pt-BR"/>
        </w:rPr>
        <w:t xml:space="preserve">s </w:t>
      </w:r>
      <w:r w:rsidR="00B94A3A" w:rsidRPr="002F4565">
        <w:rPr>
          <w:lang w:val="pt-BR"/>
        </w:rPr>
        <w:t xml:space="preserve">mais saudáveis </w:t>
      </w:r>
      <w:r w:rsidR="006A31E1" w:rsidRPr="002F4565">
        <w:rPr>
          <w:lang w:val="pt-BR"/>
        </w:rPr>
        <w:t>que</w:t>
      </w:r>
      <w:r w:rsidRPr="002F4565">
        <w:rPr>
          <w:lang w:val="pt-BR"/>
        </w:rPr>
        <w:t xml:space="preserve"> </w:t>
      </w:r>
      <w:r w:rsidR="005A25F5" w:rsidRPr="002F4565">
        <w:rPr>
          <w:lang w:val="pt-BR"/>
        </w:rPr>
        <w:t>não</w:t>
      </w:r>
      <w:r w:rsidRPr="002F4565">
        <w:rPr>
          <w:lang w:val="pt-BR"/>
        </w:rPr>
        <w:t xml:space="preserve"> </w:t>
      </w:r>
      <w:r w:rsidR="00927F84" w:rsidRPr="002F4565">
        <w:rPr>
          <w:lang w:val="pt-BR"/>
        </w:rPr>
        <w:t xml:space="preserve">sejam </w:t>
      </w:r>
      <w:r w:rsidR="00B94A3A" w:rsidRPr="002F4565">
        <w:rPr>
          <w:lang w:val="pt-BR"/>
        </w:rPr>
        <w:t xml:space="preserve">prejudiciais à </w:t>
      </w:r>
      <w:r w:rsidR="0049090C" w:rsidRPr="002F4565">
        <w:rPr>
          <w:lang w:val="pt-BR"/>
        </w:rPr>
        <w:t>saúde</w:t>
      </w:r>
      <w:r w:rsidRPr="002F4565">
        <w:rPr>
          <w:lang w:val="pt-BR"/>
        </w:rPr>
        <w:t>;</w:t>
      </w:r>
    </w:p>
    <w:p w:rsidR="00115B91" w:rsidRPr="002F4565" w:rsidRDefault="00115B91" w:rsidP="0051636A">
      <w:pPr>
        <w:spacing w:before="120" w:after="0" w:line="240" w:lineRule="auto"/>
        <w:rPr>
          <w:lang w:val="pt-BR"/>
        </w:rPr>
      </w:pPr>
      <w:r w:rsidRPr="002F4565">
        <w:rPr>
          <w:lang w:val="pt-BR"/>
        </w:rPr>
        <w:t>(f) Regula</w:t>
      </w:r>
      <w:r w:rsidR="00B94A3A" w:rsidRPr="002F4565">
        <w:rPr>
          <w:lang w:val="pt-BR"/>
        </w:rPr>
        <w:t>r</w:t>
      </w:r>
      <w:r w:rsidRPr="002F4565">
        <w:rPr>
          <w:lang w:val="pt-BR"/>
        </w:rPr>
        <w:t xml:space="preserve"> </w:t>
      </w:r>
      <w:r w:rsidR="00BC3868" w:rsidRPr="002F4565">
        <w:rPr>
          <w:lang w:val="pt-BR"/>
        </w:rPr>
        <w:t>a publicidade</w:t>
      </w:r>
      <w:r w:rsidRPr="002F4565">
        <w:rPr>
          <w:lang w:val="pt-BR"/>
        </w:rPr>
        <w:t xml:space="preserve">, </w:t>
      </w:r>
      <w:r w:rsidR="00B94A3A" w:rsidRPr="002F4565">
        <w:rPr>
          <w:lang w:val="pt-BR"/>
        </w:rPr>
        <w:t xml:space="preserve">propaganda </w:t>
      </w:r>
      <w:r w:rsidR="0049090C" w:rsidRPr="002F4565">
        <w:rPr>
          <w:lang w:val="pt-BR"/>
        </w:rPr>
        <w:t>e</w:t>
      </w:r>
      <w:r w:rsidRPr="002F4565">
        <w:rPr>
          <w:lang w:val="pt-BR"/>
        </w:rPr>
        <w:t xml:space="preserve"> prom</w:t>
      </w:r>
      <w:r w:rsidR="00F21F55" w:rsidRPr="002F4565">
        <w:rPr>
          <w:lang w:val="pt-BR"/>
        </w:rPr>
        <w:t>oção</w:t>
      </w:r>
      <w:r w:rsidRPr="002F4565">
        <w:rPr>
          <w:lang w:val="pt-BR"/>
        </w:rPr>
        <w:t xml:space="preserve"> </w:t>
      </w:r>
      <w:r w:rsidR="0049090C" w:rsidRPr="002F4565">
        <w:rPr>
          <w:lang w:val="pt-BR"/>
        </w:rPr>
        <w:t>de</w:t>
      </w:r>
      <w:r w:rsidRPr="002F4565">
        <w:rPr>
          <w:lang w:val="pt-BR"/>
        </w:rPr>
        <w:t xml:space="preserve"> </w:t>
      </w:r>
      <w:r w:rsidR="00261A8A" w:rsidRPr="002F4565">
        <w:rPr>
          <w:lang w:val="pt-BR"/>
        </w:rPr>
        <w:t>alimentos pouco saudáveis</w:t>
      </w:r>
      <w:r w:rsidRPr="002F4565">
        <w:rPr>
          <w:lang w:val="pt-BR"/>
        </w:rPr>
        <w:t>, parti</w:t>
      </w:r>
      <w:r w:rsidR="00FB4DE4" w:rsidRPr="002F4565">
        <w:rPr>
          <w:lang w:val="pt-BR"/>
        </w:rPr>
        <w:t>cularmente</w:t>
      </w:r>
      <w:r w:rsidRPr="002F4565">
        <w:rPr>
          <w:lang w:val="pt-BR"/>
        </w:rPr>
        <w:t xml:space="preserve"> </w:t>
      </w:r>
      <w:r w:rsidR="00B94A3A" w:rsidRPr="002F4565">
        <w:rPr>
          <w:lang w:val="pt-BR"/>
        </w:rPr>
        <w:t xml:space="preserve">para </w:t>
      </w:r>
      <w:r w:rsidR="00802E44" w:rsidRPr="002F4565">
        <w:rPr>
          <w:lang w:val="pt-BR"/>
        </w:rPr>
        <w:t>mulheres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crianças</w:t>
      </w:r>
      <w:r w:rsidR="00927F84" w:rsidRPr="002F4565">
        <w:rPr>
          <w:lang w:val="pt-BR"/>
        </w:rPr>
        <w:t>;</w:t>
      </w:r>
      <w:r w:rsidRPr="002F4565">
        <w:rPr>
          <w:lang w:val="pt-BR"/>
        </w:rPr>
        <w:t xml:space="preserve"> </w:t>
      </w:r>
      <w:r w:rsidR="00B94A3A" w:rsidRPr="002F4565">
        <w:rPr>
          <w:lang w:val="pt-BR"/>
        </w:rPr>
        <w:t xml:space="preserve">reduzir a </w:t>
      </w:r>
      <w:r w:rsidRPr="002F4565">
        <w:rPr>
          <w:lang w:val="pt-BR"/>
        </w:rPr>
        <w:t>visi</w:t>
      </w:r>
      <w:r w:rsidR="0049090C" w:rsidRPr="002F4565">
        <w:rPr>
          <w:lang w:val="pt-BR"/>
        </w:rPr>
        <w:t>bilidade</w:t>
      </w:r>
      <w:r w:rsidRPr="002F4565">
        <w:rPr>
          <w:lang w:val="pt-BR"/>
        </w:rPr>
        <w:t xml:space="preserve"> </w:t>
      </w:r>
      <w:r w:rsidR="00927F84" w:rsidRPr="002F4565">
        <w:rPr>
          <w:lang w:val="pt-BR"/>
        </w:rPr>
        <w:t xml:space="preserve">de alimentos pouco saudáveis </w:t>
      </w:r>
      <w:r w:rsidR="0049090C" w:rsidRPr="002F4565">
        <w:rPr>
          <w:lang w:val="pt-BR"/>
        </w:rPr>
        <w:t>e</w:t>
      </w:r>
      <w:r w:rsidRPr="002F4565">
        <w:rPr>
          <w:lang w:val="pt-BR"/>
        </w:rPr>
        <w:t xml:space="preserve"> </w:t>
      </w:r>
      <w:r w:rsidR="00B94A3A" w:rsidRPr="002F4565">
        <w:rPr>
          <w:lang w:val="pt-BR"/>
        </w:rPr>
        <w:t>aumentar a</w:t>
      </w:r>
      <w:r w:rsidRPr="002F4565">
        <w:rPr>
          <w:lang w:val="pt-BR"/>
        </w:rPr>
        <w:t xml:space="preserve"> visi</w:t>
      </w:r>
      <w:r w:rsidR="0049090C" w:rsidRPr="002F4565">
        <w:rPr>
          <w:lang w:val="pt-BR"/>
        </w:rPr>
        <w:t>bilidade</w:t>
      </w:r>
      <w:r w:rsidRPr="002F4565">
        <w:rPr>
          <w:lang w:val="pt-BR"/>
        </w:rPr>
        <w:t xml:space="preserve"> </w:t>
      </w:r>
      <w:r w:rsidR="0049090C" w:rsidRPr="002F4565">
        <w:rPr>
          <w:lang w:val="pt-BR"/>
        </w:rPr>
        <w:t>de</w:t>
      </w:r>
      <w:r w:rsidRPr="002F4565">
        <w:rPr>
          <w:lang w:val="pt-BR"/>
        </w:rPr>
        <w:t xml:space="preserve"> </w:t>
      </w:r>
      <w:r w:rsidR="00F21F55" w:rsidRPr="002F4565">
        <w:rPr>
          <w:lang w:val="pt-BR"/>
        </w:rPr>
        <w:t>opções</w:t>
      </w:r>
      <w:r w:rsidRPr="002F4565">
        <w:rPr>
          <w:lang w:val="pt-BR"/>
        </w:rPr>
        <w:t xml:space="preserve"> </w:t>
      </w:r>
      <w:r w:rsidR="00B94A3A" w:rsidRPr="002F4565">
        <w:rPr>
          <w:lang w:val="pt-BR"/>
        </w:rPr>
        <w:t xml:space="preserve">mais saudáveis </w:t>
      </w:r>
      <w:r w:rsidR="00B6466A" w:rsidRPr="002F4565">
        <w:rPr>
          <w:lang w:val="pt-BR"/>
        </w:rPr>
        <w:t>ao</w:t>
      </w:r>
      <w:r w:rsidRPr="002F4565">
        <w:rPr>
          <w:lang w:val="pt-BR"/>
        </w:rPr>
        <w:t xml:space="preserve">, </w:t>
      </w:r>
      <w:r w:rsidR="00927F84" w:rsidRPr="002F4565">
        <w:rPr>
          <w:lang w:val="pt-BR"/>
        </w:rPr>
        <w:t>p</w:t>
      </w:r>
      <w:r w:rsidR="00624BDC" w:rsidRPr="002F4565">
        <w:rPr>
          <w:lang w:val="pt-BR"/>
        </w:rPr>
        <w:t>or exemplo</w:t>
      </w:r>
      <w:r w:rsidRPr="002F4565">
        <w:rPr>
          <w:lang w:val="pt-BR"/>
        </w:rPr>
        <w:t xml:space="preserve">, </w:t>
      </w:r>
      <w:r w:rsidR="00B6466A" w:rsidRPr="002F4565">
        <w:rPr>
          <w:lang w:val="pt-BR"/>
        </w:rPr>
        <w:t xml:space="preserve">exigir que </w:t>
      </w:r>
      <w:r w:rsidR="00FB4401" w:rsidRPr="002F4565">
        <w:rPr>
          <w:lang w:val="pt-BR"/>
        </w:rPr>
        <w:t>supermercado</w:t>
      </w:r>
      <w:r w:rsidRPr="002F4565">
        <w:rPr>
          <w:lang w:val="pt-BR"/>
        </w:rPr>
        <w:t xml:space="preserve">s </w:t>
      </w:r>
      <w:r w:rsidR="00B6466A" w:rsidRPr="002F4565">
        <w:rPr>
          <w:lang w:val="pt-BR"/>
        </w:rPr>
        <w:t xml:space="preserve">coloquem </w:t>
      </w:r>
      <w:r w:rsidR="00182B8E" w:rsidRPr="002F4565">
        <w:rPr>
          <w:lang w:val="pt-BR"/>
        </w:rPr>
        <w:t>fruta</w:t>
      </w:r>
      <w:r w:rsidRPr="002F4565">
        <w:rPr>
          <w:lang w:val="pt-BR"/>
        </w:rPr>
        <w:t xml:space="preserve">s </w:t>
      </w:r>
      <w:r w:rsidR="0049090C" w:rsidRPr="002F4565">
        <w:rPr>
          <w:lang w:val="pt-BR"/>
        </w:rPr>
        <w:t>e</w:t>
      </w:r>
      <w:r w:rsidRPr="002F4565">
        <w:rPr>
          <w:lang w:val="pt-BR"/>
        </w:rPr>
        <w:t xml:space="preserve"> </w:t>
      </w:r>
      <w:r w:rsidR="00182B8E" w:rsidRPr="002F4565">
        <w:rPr>
          <w:lang w:val="pt-BR"/>
        </w:rPr>
        <w:t>legumes</w:t>
      </w:r>
      <w:r w:rsidRPr="002F4565">
        <w:rPr>
          <w:lang w:val="pt-BR"/>
        </w:rPr>
        <w:t xml:space="preserve"> </w:t>
      </w:r>
      <w:r w:rsidR="00FB4DE4" w:rsidRPr="002F4565">
        <w:rPr>
          <w:lang w:val="pt-BR"/>
        </w:rPr>
        <w:t>em</w:t>
      </w:r>
      <w:r w:rsidRPr="002F4565">
        <w:rPr>
          <w:lang w:val="pt-BR"/>
        </w:rPr>
        <w:t xml:space="preserve"> </w:t>
      </w:r>
      <w:r w:rsidR="00B6466A" w:rsidRPr="002F4565">
        <w:rPr>
          <w:lang w:val="pt-BR"/>
        </w:rPr>
        <w:t xml:space="preserve">locais mais </w:t>
      </w:r>
      <w:r w:rsidR="00624BDC" w:rsidRPr="002F4565">
        <w:rPr>
          <w:lang w:val="pt-BR"/>
        </w:rPr>
        <w:t>acessíveis</w:t>
      </w:r>
      <w:r w:rsidRPr="002F4565">
        <w:rPr>
          <w:lang w:val="pt-BR"/>
        </w:rPr>
        <w:t xml:space="preserve"> </w:t>
      </w:r>
      <w:r w:rsidR="0049090C" w:rsidRPr="002F4565">
        <w:rPr>
          <w:lang w:val="pt-BR"/>
        </w:rPr>
        <w:t>e</w:t>
      </w:r>
      <w:r w:rsidRPr="002F4565">
        <w:rPr>
          <w:lang w:val="pt-BR"/>
        </w:rPr>
        <w:t xml:space="preserve"> </w:t>
      </w:r>
      <w:r w:rsidR="00B6466A" w:rsidRPr="002F4565">
        <w:rPr>
          <w:lang w:val="pt-BR"/>
        </w:rPr>
        <w:t>visíveis</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65. </w:t>
      </w:r>
      <w:r w:rsidR="00B6466A" w:rsidRPr="002F4565">
        <w:rPr>
          <w:lang w:val="pt-BR"/>
        </w:rPr>
        <w:t xml:space="preserve">Com o objetivo de </w:t>
      </w:r>
      <w:r w:rsidR="00F21F55" w:rsidRPr="002F4565">
        <w:rPr>
          <w:lang w:val="pt-BR"/>
        </w:rPr>
        <w:t>garantir</w:t>
      </w:r>
      <w:r w:rsidRPr="002F4565">
        <w:rPr>
          <w:lang w:val="pt-BR"/>
        </w:rPr>
        <w:t xml:space="preserve"> </w:t>
      </w:r>
      <w:r w:rsidR="00B6466A" w:rsidRPr="002F4565">
        <w:rPr>
          <w:lang w:val="pt-BR"/>
        </w:rPr>
        <w:t>a</w:t>
      </w:r>
      <w:r w:rsidRPr="002F4565">
        <w:rPr>
          <w:lang w:val="pt-BR"/>
        </w:rPr>
        <w:t xml:space="preserve"> </w:t>
      </w:r>
      <w:r w:rsidR="006A31E1" w:rsidRPr="002F4565">
        <w:rPr>
          <w:lang w:val="pt-BR"/>
        </w:rPr>
        <w:t>obrigação</w:t>
      </w:r>
      <w:r w:rsidRPr="002F4565">
        <w:rPr>
          <w:lang w:val="pt-BR"/>
        </w:rPr>
        <w:t xml:space="preserve"> </w:t>
      </w:r>
      <w:r w:rsidR="00B6466A" w:rsidRPr="002F4565">
        <w:rPr>
          <w:lang w:val="pt-BR"/>
        </w:rPr>
        <w:t xml:space="preserve">de </w:t>
      </w:r>
      <w:r w:rsidR="00927F84" w:rsidRPr="002F4565">
        <w:rPr>
          <w:lang w:val="pt-BR"/>
        </w:rPr>
        <w:t xml:space="preserve">fazer valer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49090C" w:rsidRPr="002F4565">
        <w:rPr>
          <w:lang w:val="pt-BR"/>
        </w:rPr>
        <w:t>de</w:t>
      </w:r>
      <w:r w:rsidRPr="002F4565">
        <w:rPr>
          <w:lang w:val="pt-BR"/>
        </w:rPr>
        <w:t xml:space="preserve"> </w:t>
      </w:r>
      <w:r w:rsidR="00802E44" w:rsidRPr="002F4565">
        <w:rPr>
          <w:lang w:val="pt-BR"/>
        </w:rPr>
        <w:t xml:space="preserve">grupos vulneráveis </w:t>
      </w:r>
      <w:r w:rsidR="00B6466A" w:rsidRPr="002F4565">
        <w:rPr>
          <w:lang w:val="pt-BR"/>
        </w:rPr>
        <w:t xml:space="preserve">como </w:t>
      </w:r>
      <w:r w:rsidR="00802E44" w:rsidRPr="002F4565">
        <w:rPr>
          <w:lang w:val="pt-BR"/>
        </w:rPr>
        <w:t>crianças</w:t>
      </w:r>
      <w:r w:rsidRPr="002F4565">
        <w:rPr>
          <w:lang w:val="pt-BR"/>
        </w:rPr>
        <w:t xml:space="preserve">, </w:t>
      </w:r>
      <w:r w:rsidR="00802E44" w:rsidRPr="002F4565">
        <w:rPr>
          <w:lang w:val="pt-BR"/>
        </w:rPr>
        <w:t>mulheres</w:t>
      </w:r>
      <w:r w:rsidRPr="002F4565">
        <w:rPr>
          <w:lang w:val="pt-BR"/>
        </w:rPr>
        <w:t xml:space="preserve"> </w:t>
      </w:r>
      <w:r w:rsidR="0049090C" w:rsidRPr="002F4565">
        <w:rPr>
          <w:lang w:val="pt-BR"/>
        </w:rPr>
        <w:t>e</w:t>
      </w:r>
      <w:r w:rsidRPr="002F4565">
        <w:rPr>
          <w:lang w:val="pt-BR"/>
        </w:rPr>
        <w:t xml:space="preserve"> </w:t>
      </w:r>
      <w:r w:rsidR="00802E44" w:rsidRPr="002F4565">
        <w:rPr>
          <w:lang w:val="pt-BR"/>
        </w:rPr>
        <w:t>grupos de baixa renda</w:t>
      </w:r>
      <w:r w:rsidRPr="002F4565">
        <w:rPr>
          <w:lang w:val="pt-BR"/>
        </w:rPr>
        <w:t xml:space="preserve">, </w:t>
      </w:r>
      <w:r w:rsidR="00261A8A" w:rsidRPr="002F4565">
        <w:rPr>
          <w:lang w:val="pt-BR"/>
        </w:rPr>
        <w:t>o</w:t>
      </w:r>
      <w:r w:rsidRPr="002F4565">
        <w:rPr>
          <w:lang w:val="pt-BR"/>
        </w:rPr>
        <w:t xml:space="preserve"> </w:t>
      </w:r>
      <w:r w:rsidR="00261A8A" w:rsidRPr="002F4565">
        <w:rPr>
          <w:lang w:val="pt-BR"/>
        </w:rPr>
        <w:t>Relator Especial</w:t>
      </w:r>
      <w:r w:rsidRPr="002F4565">
        <w:rPr>
          <w:lang w:val="pt-BR"/>
        </w:rPr>
        <w:t xml:space="preserve"> </w:t>
      </w:r>
      <w:r w:rsidR="00B6466A" w:rsidRPr="002F4565">
        <w:rPr>
          <w:lang w:val="pt-BR"/>
        </w:rPr>
        <w:t>recomenda</w:t>
      </w:r>
      <w:r w:rsidRPr="002F4565">
        <w:rPr>
          <w:lang w:val="pt-BR"/>
        </w:rPr>
        <w:t xml:space="preserve"> </w:t>
      </w:r>
      <w:r w:rsidR="006A31E1" w:rsidRPr="002F4565">
        <w:rPr>
          <w:lang w:val="pt-BR"/>
        </w:rPr>
        <w:t>que</w:t>
      </w:r>
      <w:r w:rsidRPr="002F4565">
        <w:rPr>
          <w:lang w:val="pt-BR"/>
        </w:rPr>
        <w:t xml:space="preserve"> </w:t>
      </w:r>
      <w:r w:rsidR="00BA446D" w:rsidRPr="002F4565">
        <w:rPr>
          <w:lang w:val="pt-BR"/>
        </w:rPr>
        <w:t>os Estados</w:t>
      </w:r>
      <w:r w:rsidRPr="002F4565">
        <w:rPr>
          <w:lang w:val="pt-BR"/>
        </w:rPr>
        <w:t xml:space="preserve"> </w:t>
      </w:r>
      <w:r w:rsidR="00B6466A" w:rsidRPr="002F4565">
        <w:rPr>
          <w:lang w:val="pt-BR"/>
        </w:rPr>
        <w:t>tomem as seguintes medidas</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(a) </w:t>
      </w:r>
      <w:r w:rsidR="00B6466A" w:rsidRPr="002F4565">
        <w:rPr>
          <w:lang w:val="pt-BR"/>
        </w:rPr>
        <w:t xml:space="preserve">Abordar </w:t>
      </w:r>
      <w:r w:rsidR="00927F84" w:rsidRPr="002F4565">
        <w:rPr>
          <w:lang w:val="pt-BR"/>
        </w:rPr>
        <w:t xml:space="preserve">a questão dos </w:t>
      </w:r>
      <w:r w:rsidR="00B6466A" w:rsidRPr="002F4565">
        <w:rPr>
          <w:lang w:val="pt-BR"/>
        </w:rPr>
        <w:t>estereótipos de gênero na</w:t>
      </w:r>
      <w:r w:rsidRPr="002F4565">
        <w:rPr>
          <w:lang w:val="pt-BR"/>
        </w:rPr>
        <w:t xml:space="preserve"> prepar</w:t>
      </w:r>
      <w:r w:rsidR="00F21F55" w:rsidRPr="002F4565">
        <w:rPr>
          <w:lang w:val="pt-BR"/>
        </w:rPr>
        <w:t>ação</w:t>
      </w:r>
      <w:r w:rsidRPr="002F4565">
        <w:rPr>
          <w:lang w:val="pt-BR"/>
        </w:rPr>
        <w:t xml:space="preserve"> </w:t>
      </w:r>
      <w:r w:rsidR="0049090C" w:rsidRPr="002F4565">
        <w:rPr>
          <w:lang w:val="pt-BR"/>
        </w:rPr>
        <w:t>d</w:t>
      </w:r>
      <w:r w:rsidR="00B6466A" w:rsidRPr="002F4565">
        <w:rPr>
          <w:lang w:val="pt-BR"/>
        </w:rPr>
        <w:t>as</w:t>
      </w:r>
      <w:r w:rsidRPr="002F4565">
        <w:rPr>
          <w:lang w:val="pt-BR"/>
        </w:rPr>
        <w:t xml:space="preserve"> </w:t>
      </w:r>
      <w:r w:rsidR="001730DC" w:rsidRPr="002F4565">
        <w:rPr>
          <w:lang w:val="pt-BR"/>
        </w:rPr>
        <w:t>refeições</w:t>
      </w:r>
      <w:r w:rsidRPr="002F4565">
        <w:rPr>
          <w:lang w:val="pt-BR"/>
        </w:rPr>
        <w:t xml:space="preserve"> </w:t>
      </w:r>
      <w:r w:rsidR="006A31E1" w:rsidRPr="002F4565">
        <w:rPr>
          <w:lang w:val="pt-BR"/>
        </w:rPr>
        <w:t>que</w:t>
      </w:r>
      <w:r w:rsidRPr="002F4565">
        <w:rPr>
          <w:lang w:val="pt-BR"/>
        </w:rPr>
        <w:t xml:space="preserve"> </w:t>
      </w:r>
      <w:r w:rsidR="00B6466A" w:rsidRPr="002F4565">
        <w:rPr>
          <w:lang w:val="pt-BR"/>
        </w:rPr>
        <w:t xml:space="preserve">colocam </w:t>
      </w:r>
      <w:r w:rsidR="00F21F55" w:rsidRPr="002F4565">
        <w:rPr>
          <w:lang w:val="pt-BR"/>
        </w:rPr>
        <w:t>ônus</w:t>
      </w:r>
      <w:r w:rsidRPr="002F4565">
        <w:rPr>
          <w:lang w:val="pt-BR"/>
        </w:rPr>
        <w:t xml:space="preserve"> </w:t>
      </w:r>
      <w:r w:rsidR="00B6466A" w:rsidRPr="002F4565">
        <w:rPr>
          <w:lang w:val="pt-BR"/>
        </w:rPr>
        <w:t>desigual no ato de cozinha</w:t>
      </w:r>
      <w:r w:rsidR="00927F84" w:rsidRPr="002F4565">
        <w:rPr>
          <w:lang w:val="pt-BR"/>
        </w:rPr>
        <w:t>r</w:t>
      </w:r>
      <w:r w:rsidR="00B6466A" w:rsidRPr="002F4565">
        <w:rPr>
          <w:lang w:val="pt-BR"/>
        </w:rPr>
        <w:t xml:space="preserve"> sobre as </w:t>
      </w:r>
      <w:r w:rsidR="00802E44" w:rsidRPr="002F4565">
        <w:rPr>
          <w:lang w:val="pt-BR"/>
        </w:rPr>
        <w:t>mulheres</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(b) </w:t>
      </w:r>
      <w:r w:rsidR="002E1AA7" w:rsidRPr="002F4565">
        <w:rPr>
          <w:lang w:val="pt-BR"/>
        </w:rPr>
        <w:t>Formular</w:t>
      </w:r>
      <w:r w:rsidRPr="002F4565">
        <w:rPr>
          <w:lang w:val="pt-BR"/>
        </w:rPr>
        <w:t xml:space="preserve"> </w:t>
      </w:r>
      <w:r w:rsidR="0049090C" w:rsidRPr="002F4565">
        <w:rPr>
          <w:lang w:val="pt-BR"/>
        </w:rPr>
        <w:t>e</w:t>
      </w:r>
      <w:r w:rsidRPr="002F4565">
        <w:rPr>
          <w:lang w:val="pt-BR"/>
        </w:rPr>
        <w:t xml:space="preserve"> impl</w:t>
      </w:r>
      <w:r w:rsidR="00927F84" w:rsidRPr="002F4565">
        <w:rPr>
          <w:lang w:val="pt-BR"/>
        </w:rPr>
        <w:t>a</w:t>
      </w:r>
      <w:r w:rsidRPr="002F4565">
        <w:rPr>
          <w:lang w:val="pt-BR"/>
        </w:rPr>
        <w:t>nt</w:t>
      </w:r>
      <w:r w:rsidR="00B6466A" w:rsidRPr="002F4565">
        <w:rPr>
          <w:lang w:val="pt-BR"/>
        </w:rPr>
        <w:t>ar</w:t>
      </w:r>
      <w:r w:rsidRPr="002F4565">
        <w:rPr>
          <w:lang w:val="pt-BR"/>
        </w:rPr>
        <w:t xml:space="preserve"> </w:t>
      </w:r>
      <w:r w:rsidR="00B5729E" w:rsidRPr="002F4565">
        <w:rPr>
          <w:lang w:val="pt-BR"/>
        </w:rPr>
        <w:t>programas</w:t>
      </w:r>
      <w:r w:rsidRPr="002F4565">
        <w:rPr>
          <w:lang w:val="pt-BR"/>
        </w:rPr>
        <w:t xml:space="preserve"> </w:t>
      </w:r>
      <w:r w:rsidR="00B6466A" w:rsidRPr="002F4565">
        <w:rPr>
          <w:lang w:val="pt-BR"/>
        </w:rPr>
        <w:t xml:space="preserve">de educação em saúde para </w:t>
      </w:r>
      <w:r w:rsidRPr="002F4565">
        <w:rPr>
          <w:lang w:val="pt-BR"/>
        </w:rPr>
        <w:t>promo</w:t>
      </w:r>
      <w:r w:rsidR="00B6466A" w:rsidRPr="002F4565">
        <w:rPr>
          <w:lang w:val="pt-BR"/>
        </w:rPr>
        <w:t>ver</w:t>
      </w:r>
      <w:r w:rsidRPr="002F4565">
        <w:rPr>
          <w:lang w:val="pt-BR"/>
        </w:rPr>
        <w:t xml:space="preserve"> </w:t>
      </w:r>
      <w:r w:rsidR="00F21F55" w:rsidRPr="002F4565">
        <w:rPr>
          <w:lang w:val="pt-BR"/>
        </w:rPr>
        <w:t>opções</w:t>
      </w:r>
      <w:r w:rsidRPr="002F4565">
        <w:rPr>
          <w:lang w:val="pt-BR"/>
        </w:rPr>
        <w:t xml:space="preserve"> </w:t>
      </w:r>
      <w:r w:rsidR="00B6466A" w:rsidRPr="002F4565">
        <w:rPr>
          <w:lang w:val="pt-BR"/>
        </w:rPr>
        <w:t xml:space="preserve">alimentares saudáveis </w:t>
      </w:r>
      <w:r w:rsidR="00FB4DE4" w:rsidRPr="002F4565">
        <w:rPr>
          <w:lang w:val="pt-BR"/>
        </w:rPr>
        <w:t>em</w:t>
      </w:r>
      <w:r w:rsidRPr="002F4565">
        <w:rPr>
          <w:lang w:val="pt-BR"/>
        </w:rPr>
        <w:t xml:space="preserve"> </w:t>
      </w:r>
      <w:r w:rsidR="00B6466A" w:rsidRPr="002F4565">
        <w:rPr>
          <w:lang w:val="pt-BR"/>
        </w:rPr>
        <w:t xml:space="preserve">ambientes institucionais como </w:t>
      </w:r>
      <w:r w:rsidR="00072E1E" w:rsidRPr="002F4565">
        <w:rPr>
          <w:lang w:val="pt-BR"/>
        </w:rPr>
        <w:t>escola</w:t>
      </w:r>
      <w:r w:rsidRPr="002F4565">
        <w:rPr>
          <w:lang w:val="pt-BR"/>
        </w:rPr>
        <w:t xml:space="preserve">s, </w:t>
      </w:r>
      <w:r w:rsidR="00B6466A" w:rsidRPr="002F4565">
        <w:rPr>
          <w:lang w:val="pt-BR"/>
        </w:rPr>
        <w:t xml:space="preserve">centros de </w:t>
      </w:r>
      <w:r w:rsidR="0049090C" w:rsidRPr="002F4565">
        <w:rPr>
          <w:lang w:val="pt-BR"/>
        </w:rPr>
        <w:t>saúde</w:t>
      </w:r>
      <w:r w:rsidRPr="002F4565">
        <w:rPr>
          <w:lang w:val="pt-BR"/>
        </w:rPr>
        <w:t xml:space="preserve"> </w:t>
      </w:r>
      <w:r w:rsidR="003F41C2" w:rsidRPr="002F4565">
        <w:rPr>
          <w:lang w:val="pt-BR"/>
        </w:rPr>
        <w:t>ou</w:t>
      </w:r>
      <w:r w:rsidRPr="002F4565">
        <w:rPr>
          <w:lang w:val="pt-BR"/>
        </w:rPr>
        <w:t xml:space="preserve"> </w:t>
      </w:r>
      <w:r w:rsidR="00B6466A" w:rsidRPr="002F4565">
        <w:rPr>
          <w:lang w:val="pt-BR"/>
        </w:rPr>
        <w:t xml:space="preserve">juventude </w:t>
      </w:r>
      <w:r w:rsidR="0049090C" w:rsidRPr="002F4565">
        <w:rPr>
          <w:lang w:val="pt-BR"/>
        </w:rPr>
        <w:t>e</w:t>
      </w:r>
      <w:r w:rsidRPr="002F4565">
        <w:rPr>
          <w:lang w:val="pt-BR"/>
        </w:rPr>
        <w:t xml:space="preserve"> </w:t>
      </w:r>
      <w:r w:rsidR="00B6466A" w:rsidRPr="002F4565">
        <w:rPr>
          <w:lang w:val="pt-BR"/>
        </w:rPr>
        <w:t xml:space="preserve">locais de trabalho ao envolver as </w:t>
      </w:r>
      <w:r w:rsidR="00802E44" w:rsidRPr="002F4565">
        <w:rPr>
          <w:lang w:val="pt-BR"/>
        </w:rPr>
        <w:t>crianças</w:t>
      </w:r>
      <w:r w:rsidRPr="002F4565">
        <w:rPr>
          <w:lang w:val="pt-BR"/>
        </w:rPr>
        <w:t xml:space="preserve">, </w:t>
      </w:r>
      <w:r w:rsidR="00B6466A" w:rsidRPr="002F4565">
        <w:rPr>
          <w:lang w:val="pt-BR"/>
        </w:rPr>
        <w:t>pais</w:t>
      </w:r>
      <w:r w:rsidRPr="002F4565">
        <w:rPr>
          <w:lang w:val="pt-BR"/>
        </w:rPr>
        <w:t xml:space="preserve"> </w:t>
      </w:r>
      <w:r w:rsidR="0049090C" w:rsidRPr="002F4565">
        <w:rPr>
          <w:lang w:val="pt-BR"/>
        </w:rPr>
        <w:t>e</w:t>
      </w:r>
      <w:r w:rsidRPr="002F4565">
        <w:rPr>
          <w:lang w:val="pt-BR"/>
        </w:rPr>
        <w:t xml:space="preserve"> </w:t>
      </w:r>
      <w:r w:rsidR="00B6466A" w:rsidRPr="002F4565">
        <w:rPr>
          <w:lang w:val="pt-BR"/>
        </w:rPr>
        <w:t>funcionários</w:t>
      </w:r>
      <w:r w:rsidRPr="002F4565">
        <w:rPr>
          <w:lang w:val="pt-BR"/>
        </w:rPr>
        <w:t xml:space="preserve">, </w:t>
      </w:r>
      <w:r w:rsidR="00B6466A" w:rsidRPr="002F4565">
        <w:rPr>
          <w:lang w:val="pt-BR"/>
        </w:rPr>
        <w:t>respectivamente</w:t>
      </w:r>
      <w:r w:rsidRPr="002F4565">
        <w:rPr>
          <w:lang w:val="pt-BR"/>
        </w:rPr>
        <w:t>;</w:t>
      </w:r>
    </w:p>
    <w:p w:rsidR="00115B91" w:rsidRPr="002F4565" w:rsidRDefault="00115B91" w:rsidP="0051636A">
      <w:pPr>
        <w:spacing w:before="120" w:after="0" w:line="240" w:lineRule="auto"/>
        <w:rPr>
          <w:lang w:val="pt-BR"/>
        </w:rPr>
      </w:pPr>
      <w:r w:rsidRPr="002F4565">
        <w:rPr>
          <w:lang w:val="pt-BR"/>
        </w:rPr>
        <w:lastRenderedPageBreak/>
        <w:t xml:space="preserve">(c) </w:t>
      </w:r>
      <w:r w:rsidR="00B6466A" w:rsidRPr="002F4565">
        <w:rPr>
          <w:lang w:val="pt-BR"/>
        </w:rPr>
        <w:t xml:space="preserve">Garantir que planos de bem-estar social para </w:t>
      </w:r>
      <w:r w:rsidR="00802E44" w:rsidRPr="002F4565">
        <w:rPr>
          <w:lang w:val="pt-BR"/>
        </w:rPr>
        <w:t>grupos de baixa renda</w:t>
      </w:r>
      <w:r w:rsidRPr="002F4565">
        <w:rPr>
          <w:lang w:val="pt-BR"/>
        </w:rPr>
        <w:t xml:space="preserve"> </w:t>
      </w:r>
      <w:r w:rsidR="00B6466A" w:rsidRPr="002F4565">
        <w:rPr>
          <w:lang w:val="pt-BR"/>
        </w:rPr>
        <w:t xml:space="preserve">disponibilizem </w:t>
      </w:r>
      <w:r w:rsidR="00F21F55" w:rsidRPr="002F4565">
        <w:rPr>
          <w:lang w:val="pt-BR"/>
        </w:rPr>
        <w:t>informações</w:t>
      </w:r>
      <w:r w:rsidRPr="002F4565">
        <w:rPr>
          <w:lang w:val="pt-BR"/>
        </w:rPr>
        <w:t xml:space="preserve"> </w:t>
      </w:r>
      <w:r w:rsidR="00B6466A" w:rsidRPr="002F4565">
        <w:rPr>
          <w:lang w:val="pt-BR"/>
        </w:rPr>
        <w:t xml:space="preserve">importantes </w:t>
      </w:r>
      <w:r w:rsidR="0049090C" w:rsidRPr="002F4565">
        <w:rPr>
          <w:lang w:val="pt-BR"/>
        </w:rPr>
        <w:t>e</w:t>
      </w:r>
      <w:r w:rsidRPr="002F4565">
        <w:rPr>
          <w:lang w:val="pt-BR"/>
        </w:rPr>
        <w:t xml:space="preserve"> </w:t>
      </w:r>
      <w:r w:rsidR="00B6466A" w:rsidRPr="002F4565">
        <w:rPr>
          <w:lang w:val="pt-BR"/>
        </w:rPr>
        <w:t xml:space="preserve">forneçam </w:t>
      </w:r>
      <w:r w:rsidR="006A31E1" w:rsidRPr="002F4565">
        <w:rPr>
          <w:lang w:val="pt-BR"/>
        </w:rPr>
        <w:t>acesso</w:t>
      </w:r>
      <w:r w:rsidRPr="002F4565">
        <w:rPr>
          <w:lang w:val="pt-BR"/>
        </w:rPr>
        <w:t xml:space="preserve"> </w:t>
      </w:r>
      <w:r w:rsidR="00B6466A" w:rsidRPr="002F4565">
        <w:rPr>
          <w:lang w:val="pt-BR"/>
        </w:rPr>
        <w:t xml:space="preserve">a </w:t>
      </w:r>
      <w:r w:rsidR="00F21F55" w:rsidRPr="002F4565">
        <w:rPr>
          <w:lang w:val="pt-BR"/>
        </w:rPr>
        <w:t>opções</w:t>
      </w:r>
      <w:r w:rsidRPr="002F4565">
        <w:rPr>
          <w:lang w:val="pt-BR"/>
        </w:rPr>
        <w:t xml:space="preserve"> </w:t>
      </w:r>
      <w:r w:rsidR="00B6466A" w:rsidRPr="002F4565">
        <w:rPr>
          <w:lang w:val="pt-BR"/>
        </w:rPr>
        <w:t xml:space="preserve">alimentares mais saudáveis para </w:t>
      </w:r>
      <w:r w:rsidRPr="002F4565">
        <w:rPr>
          <w:lang w:val="pt-BR"/>
        </w:rPr>
        <w:t>elimina</w:t>
      </w:r>
      <w:r w:rsidR="00B6466A" w:rsidRPr="002F4565">
        <w:rPr>
          <w:lang w:val="pt-BR"/>
        </w:rPr>
        <w:t>r</w:t>
      </w:r>
      <w:r w:rsidRPr="002F4565">
        <w:rPr>
          <w:lang w:val="pt-BR"/>
        </w:rPr>
        <w:t xml:space="preserve"> “</w:t>
      </w:r>
      <w:r w:rsidR="00B6466A" w:rsidRPr="002F4565">
        <w:rPr>
          <w:lang w:val="pt-BR"/>
        </w:rPr>
        <w:t>sobremesas como alimento</w:t>
      </w:r>
      <w:r w:rsidRPr="002F4565">
        <w:rPr>
          <w:lang w:val="pt-BR"/>
        </w:rPr>
        <w:t>”.</w:t>
      </w:r>
    </w:p>
    <w:p w:rsidR="00115B91" w:rsidRPr="002F4565" w:rsidRDefault="00115B91" w:rsidP="0051636A">
      <w:pPr>
        <w:spacing w:before="120" w:after="0" w:line="240" w:lineRule="auto"/>
        <w:rPr>
          <w:lang w:val="pt-BR"/>
        </w:rPr>
      </w:pPr>
      <w:r w:rsidRPr="002F4565">
        <w:rPr>
          <w:lang w:val="pt-BR"/>
        </w:rPr>
        <w:t>66. Reco</w:t>
      </w:r>
      <w:r w:rsidR="00B6466A" w:rsidRPr="002F4565">
        <w:rPr>
          <w:lang w:val="pt-BR"/>
        </w:rPr>
        <w:t xml:space="preserve">nhecendo o papel da </w:t>
      </w:r>
      <w:r w:rsidR="00F21F55" w:rsidRPr="002F4565">
        <w:rPr>
          <w:lang w:val="pt-BR"/>
        </w:rPr>
        <w:t>indústria de alimentos</w:t>
      </w:r>
      <w:r w:rsidRPr="002F4565">
        <w:rPr>
          <w:lang w:val="pt-BR"/>
        </w:rPr>
        <w:t xml:space="preserve"> </w:t>
      </w:r>
      <w:r w:rsidR="00B6466A" w:rsidRPr="002F4565">
        <w:rPr>
          <w:lang w:val="pt-BR"/>
        </w:rPr>
        <w:t xml:space="preserve">no </w:t>
      </w:r>
      <w:r w:rsidR="006A31E1" w:rsidRPr="002F4565">
        <w:rPr>
          <w:lang w:val="pt-BR"/>
        </w:rPr>
        <w:t>crescente</w:t>
      </w:r>
      <w:r w:rsidRPr="002F4565">
        <w:rPr>
          <w:lang w:val="pt-BR"/>
        </w:rPr>
        <w:t xml:space="preserve"> </w:t>
      </w:r>
      <w:r w:rsidR="00F21F55" w:rsidRPr="002F4565">
        <w:rPr>
          <w:lang w:val="pt-BR"/>
        </w:rPr>
        <w:t>ônus</w:t>
      </w:r>
      <w:r w:rsidRPr="002F4565">
        <w:rPr>
          <w:lang w:val="pt-BR"/>
        </w:rPr>
        <w:t xml:space="preserve"> </w:t>
      </w:r>
      <w:r w:rsidR="0049090C" w:rsidRPr="002F4565">
        <w:rPr>
          <w:lang w:val="pt-BR"/>
        </w:rPr>
        <w:t>d</w:t>
      </w:r>
      <w:r w:rsidR="00B6466A" w:rsidRPr="002F4565">
        <w:rPr>
          <w:lang w:val="pt-BR"/>
        </w:rPr>
        <w:t>as</w:t>
      </w:r>
      <w:r w:rsidRPr="002F4565">
        <w:rPr>
          <w:lang w:val="pt-BR"/>
        </w:rPr>
        <w:t xml:space="preserve"> </w:t>
      </w:r>
      <w:r w:rsidR="0049090C" w:rsidRPr="002F4565">
        <w:rPr>
          <w:lang w:val="pt-BR"/>
        </w:rPr>
        <w:t>DNT</w:t>
      </w:r>
      <w:r w:rsidRPr="002F4565">
        <w:rPr>
          <w:lang w:val="pt-BR"/>
        </w:rPr>
        <w:t xml:space="preserve">s, </w:t>
      </w:r>
      <w:r w:rsidR="00261A8A" w:rsidRPr="002F4565">
        <w:rPr>
          <w:lang w:val="pt-BR"/>
        </w:rPr>
        <w:t>o</w:t>
      </w:r>
      <w:r w:rsidRPr="002F4565">
        <w:rPr>
          <w:lang w:val="pt-BR"/>
        </w:rPr>
        <w:t xml:space="preserve"> </w:t>
      </w:r>
      <w:r w:rsidR="00261A8A" w:rsidRPr="002F4565">
        <w:rPr>
          <w:lang w:val="pt-BR"/>
        </w:rPr>
        <w:t>Relator Especial</w:t>
      </w:r>
      <w:r w:rsidRPr="002F4565">
        <w:rPr>
          <w:lang w:val="pt-BR"/>
        </w:rPr>
        <w:t xml:space="preserve"> </w:t>
      </w:r>
      <w:r w:rsidR="00B6466A" w:rsidRPr="002F4565">
        <w:rPr>
          <w:lang w:val="pt-BR"/>
        </w:rPr>
        <w:t>recomenda</w:t>
      </w:r>
      <w:r w:rsidRPr="002F4565">
        <w:rPr>
          <w:lang w:val="pt-BR"/>
        </w:rPr>
        <w:t xml:space="preserve"> </w:t>
      </w:r>
      <w:r w:rsidR="006A31E1" w:rsidRPr="002F4565">
        <w:rPr>
          <w:lang w:val="pt-BR"/>
        </w:rPr>
        <w:t>que</w:t>
      </w:r>
      <w:r w:rsidRPr="002F4565">
        <w:rPr>
          <w:lang w:val="pt-BR"/>
        </w:rPr>
        <w:t xml:space="preserve"> </w:t>
      </w:r>
      <w:r w:rsidR="00B6466A"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B6466A" w:rsidRPr="002F4565">
        <w:rPr>
          <w:lang w:val="pt-BR"/>
        </w:rPr>
        <w:t>tome as seguintes medidas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(a) </w:t>
      </w:r>
      <w:r w:rsidR="00072E1E" w:rsidRPr="002F4565">
        <w:rPr>
          <w:lang w:val="pt-BR"/>
        </w:rPr>
        <w:t>Adotar</w:t>
      </w:r>
      <w:r w:rsidRPr="002F4565">
        <w:rPr>
          <w:lang w:val="pt-BR"/>
        </w:rPr>
        <w:t xml:space="preserve"> </w:t>
      </w:r>
      <w:r w:rsidR="002E1AA7" w:rsidRPr="002F4565">
        <w:rPr>
          <w:lang w:val="pt-BR"/>
        </w:rPr>
        <w:t>diretrizes</w:t>
      </w:r>
      <w:r w:rsidRPr="002F4565">
        <w:rPr>
          <w:lang w:val="pt-BR"/>
        </w:rPr>
        <w:t xml:space="preserve"> </w:t>
      </w:r>
      <w:r w:rsidR="00B6466A" w:rsidRPr="002F4565">
        <w:rPr>
          <w:lang w:val="pt-BR"/>
        </w:rPr>
        <w:t xml:space="preserve">de rotulagem nutricional internacionalmente aceitável </w:t>
      </w:r>
      <w:r w:rsidR="0049090C" w:rsidRPr="002F4565">
        <w:rPr>
          <w:lang w:val="pt-BR"/>
        </w:rPr>
        <w:t>e</w:t>
      </w:r>
      <w:r w:rsidRPr="002F4565">
        <w:rPr>
          <w:lang w:val="pt-BR"/>
        </w:rPr>
        <w:t xml:space="preserve"> </w:t>
      </w:r>
      <w:r w:rsidR="00B6466A" w:rsidRPr="002F4565">
        <w:rPr>
          <w:lang w:val="pt-BR"/>
        </w:rPr>
        <w:t xml:space="preserve">cumprir as </w:t>
      </w:r>
      <w:r w:rsidR="002E1AA7" w:rsidRPr="002F4565">
        <w:rPr>
          <w:lang w:val="pt-BR"/>
        </w:rPr>
        <w:t>diretrizes</w:t>
      </w:r>
      <w:r w:rsidRPr="002F4565">
        <w:rPr>
          <w:lang w:val="pt-BR"/>
        </w:rPr>
        <w:t xml:space="preserve"> </w:t>
      </w:r>
      <w:r w:rsidR="00B6466A" w:rsidRPr="002F4565">
        <w:rPr>
          <w:lang w:val="pt-BR"/>
        </w:rPr>
        <w:t xml:space="preserve">promulgadas em âmbito nacional a este </w:t>
      </w:r>
      <w:r w:rsidR="00F21F55" w:rsidRPr="002F4565">
        <w:rPr>
          <w:lang w:val="pt-BR"/>
        </w:rPr>
        <w:t>respeito</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(b) </w:t>
      </w:r>
      <w:r w:rsidR="00B6466A" w:rsidRPr="002F4565">
        <w:rPr>
          <w:lang w:val="pt-BR"/>
        </w:rPr>
        <w:t>Abster-se de comercializar</w:t>
      </w:r>
      <w:r w:rsidRPr="002F4565">
        <w:rPr>
          <w:lang w:val="pt-BR"/>
        </w:rPr>
        <w:t>, promo</w:t>
      </w:r>
      <w:r w:rsidR="00B6466A" w:rsidRPr="002F4565">
        <w:rPr>
          <w:lang w:val="pt-BR"/>
        </w:rPr>
        <w:t>ver</w:t>
      </w:r>
      <w:r w:rsidRPr="002F4565">
        <w:rPr>
          <w:lang w:val="pt-BR"/>
        </w:rPr>
        <w:t xml:space="preserve"> </w:t>
      </w:r>
      <w:r w:rsidR="0049090C" w:rsidRPr="002F4565">
        <w:rPr>
          <w:lang w:val="pt-BR"/>
        </w:rPr>
        <w:t>e</w:t>
      </w:r>
      <w:r w:rsidRPr="002F4565">
        <w:rPr>
          <w:lang w:val="pt-BR"/>
        </w:rPr>
        <w:t xml:space="preserve"> </w:t>
      </w:r>
      <w:r w:rsidR="00B6466A" w:rsidRPr="002F4565">
        <w:rPr>
          <w:lang w:val="pt-BR"/>
        </w:rPr>
        <w:t xml:space="preserve">anunciar </w:t>
      </w:r>
      <w:r w:rsidR="00261A8A" w:rsidRPr="002F4565">
        <w:rPr>
          <w:lang w:val="pt-BR"/>
        </w:rPr>
        <w:t>alimentos pouco saudáveis</w:t>
      </w:r>
      <w:r w:rsidRPr="002F4565">
        <w:rPr>
          <w:lang w:val="pt-BR"/>
        </w:rPr>
        <w:t xml:space="preserve"> </w:t>
      </w:r>
      <w:r w:rsidR="00B6466A" w:rsidRPr="002F4565">
        <w:rPr>
          <w:lang w:val="pt-BR"/>
        </w:rPr>
        <w:t xml:space="preserve">para a </w:t>
      </w:r>
      <w:r w:rsidRPr="002F4565">
        <w:rPr>
          <w:lang w:val="pt-BR"/>
        </w:rPr>
        <w:t>popul</w:t>
      </w:r>
      <w:r w:rsidR="00F21F55" w:rsidRPr="002F4565">
        <w:rPr>
          <w:lang w:val="pt-BR"/>
        </w:rPr>
        <w:t>ação</w:t>
      </w:r>
      <w:r w:rsidRPr="002F4565">
        <w:rPr>
          <w:lang w:val="pt-BR"/>
        </w:rPr>
        <w:t>, espe</w:t>
      </w:r>
      <w:r w:rsidR="000E48EB" w:rsidRPr="002F4565">
        <w:rPr>
          <w:lang w:val="pt-BR"/>
        </w:rPr>
        <w:t>cialmente</w:t>
      </w:r>
      <w:r w:rsidRPr="002F4565">
        <w:rPr>
          <w:lang w:val="pt-BR"/>
        </w:rPr>
        <w:t xml:space="preserve"> </w:t>
      </w:r>
      <w:r w:rsidR="00B6466A" w:rsidRPr="002F4565">
        <w:rPr>
          <w:lang w:val="pt-BR"/>
        </w:rPr>
        <w:t xml:space="preserve">para </w:t>
      </w:r>
      <w:r w:rsidR="00802E44" w:rsidRPr="002F4565">
        <w:rPr>
          <w:lang w:val="pt-BR"/>
        </w:rPr>
        <w:t>crianças</w:t>
      </w:r>
      <w:r w:rsidRPr="002F4565">
        <w:rPr>
          <w:lang w:val="pt-BR"/>
        </w:rPr>
        <w:t>;</w:t>
      </w:r>
    </w:p>
    <w:p w:rsidR="00115B91" w:rsidRPr="002F4565" w:rsidRDefault="00115B91" w:rsidP="0051636A">
      <w:pPr>
        <w:spacing w:before="120" w:after="0" w:line="240" w:lineRule="auto"/>
        <w:rPr>
          <w:lang w:val="pt-BR"/>
        </w:rPr>
      </w:pPr>
      <w:r w:rsidRPr="002F4565">
        <w:rPr>
          <w:lang w:val="pt-BR"/>
        </w:rPr>
        <w:t>(c) Invest</w:t>
      </w:r>
      <w:r w:rsidR="00B6466A" w:rsidRPr="002F4565">
        <w:rPr>
          <w:lang w:val="pt-BR"/>
        </w:rPr>
        <w:t>ir</w:t>
      </w:r>
      <w:r w:rsidRPr="002F4565">
        <w:rPr>
          <w:lang w:val="pt-BR"/>
        </w:rPr>
        <w:t xml:space="preserve"> </w:t>
      </w:r>
      <w:r w:rsidR="00B6466A" w:rsidRPr="002F4565">
        <w:rPr>
          <w:lang w:val="pt-BR"/>
        </w:rPr>
        <w:t xml:space="preserve">na melhoria do teor </w:t>
      </w:r>
      <w:r w:rsidR="0040430A" w:rsidRPr="002F4565">
        <w:rPr>
          <w:lang w:val="pt-BR"/>
        </w:rPr>
        <w:t>nutricional</w:t>
      </w:r>
      <w:r w:rsidRPr="002F4565">
        <w:rPr>
          <w:lang w:val="pt-BR"/>
        </w:rPr>
        <w:t xml:space="preserve"> </w:t>
      </w:r>
      <w:r w:rsidR="0049090C" w:rsidRPr="002F4565">
        <w:rPr>
          <w:lang w:val="pt-BR"/>
        </w:rPr>
        <w:t>d</w:t>
      </w:r>
      <w:r w:rsidR="00B6466A" w:rsidRPr="002F4565">
        <w:rPr>
          <w:lang w:val="pt-BR"/>
        </w:rPr>
        <w:t>os</w:t>
      </w:r>
      <w:r w:rsidRPr="002F4565">
        <w:rPr>
          <w:lang w:val="pt-BR"/>
        </w:rPr>
        <w:t xml:space="preserve"> </w:t>
      </w:r>
      <w:r w:rsidR="00261A8A" w:rsidRPr="002F4565">
        <w:rPr>
          <w:lang w:val="pt-BR"/>
        </w:rPr>
        <w:t>alimentos pouco saudáveis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(d) </w:t>
      </w:r>
      <w:r w:rsidR="00B6466A" w:rsidRPr="002F4565">
        <w:rPr>
          <w:lang w:val="pt-BR"/>
        </w:rPr>
        <w:t xml:space="preserve">Aumentar a </w:t>
      </w:r>
      <w:r w:rsidRPr="002F4565">
        <w:rPr>
          <w:lang w:val="pt-BR"/>
        </w:rPr>
        <w:t>transpar</w:t>
      </w:r>
      <w:r w:rsidR="003C09F9" w:rsidRPr="002F4565">
        <w:rPr>
          <w:lang w:val="pt-BR"/>
        </w:rPr>
        <w:t>ência</w:t>
      </w:r>
      <w:r w:rsidRPr="002F4565">
        <w:rPr>
          <w:lang w:val="pt-BR"/>
        </w:rPr>
        <w:t xml:space="preserve"> </w:t>
      </w:r>
      <w:r w:rsidR="0049090C" w:rsidRPr="002F4565">
        <w:rPr>
          <w:lang w:val="pt-BR"/>
        </w:rPr>
        <w:t>d</w:t>
      </w:r>
      <w:r w:rsidR="00B6466A" w:rsidRPr="002F4565">
        <w:rPr>
          <w:lang w:val="pt-BR"/>
        </w:rPr>
        <w:t>as</w:t>
      </w:r>
      <w:r w:rsidRPr="002F4565">
        <w:rPr>
          <w:lang w:val="pt-BR"/>
        </w:rPr>
        <w:t xml:space="preserve"> </w:t>
      </w:r>
      <w:r w:rsidR="00F21F55" w:rsidRPr="002F4565">
        <w:rPr>
          <w:lang w:val="pt-BR"/>
        </w:rPr>
        <w:t>informações</w:t>
      </w:r>
      <w:r w:rsidRPr="002F4565">
        <w:rPr>
          <w:lang w:val="pt-BR"/>
        </w:rPr>
        <w:t xml:space="preserve"> </w:t>
      </w:r>
      <w:r w:rsidR="00B6466A" w:rsidRPr="002F4565">
        <w:rPr>
          <w:lang w:val="pt-BR"/>
        </w:rPr>
        <w:t xml:space="preserve">nutricionais nos </w:t>
      </w:r>
      <w:r w:rsidR="00072E1E" w:rsidRPr="002F4565">
        <w:rPr>
          <w:lang w:val="pt-BR"/>
        </w:rPr>
        <w:t>produtos alimentícios</w:t>
      </w:r>
      <w:r w:rsidRPr="002F4565">
        <w:rPr>
          <w:lang w:val="pt-BR"/>
        </w:rPr>
        <w:t xml:space="preserve">, </w:t>
      </w:r>
      <w:r w:rsidR="00B6466A" w:rsidRPr="002F4565">
        <w:rPr>
          <w:lang w:val="pt-BR"/>
        </w:rPr>
        <w:t xml:space="preserve">ao mesmo tempo deixando de apresentar alegações </w:t>
      </w:r>
      <w:r w:rsidR="00C93834" w:rsidRPr="002F4565">
        <w:rPr>
          <w:lang w:val="pt-BR"/>
        </w:rPr>
        <w:t xml:space="preserve">falsas </w:t>
      </w:r>
      <w:r w:rsidR="0049090C" w:rsidRPr="002F4565">
        <w:rPr>
          <w:lang w:val="pt-BR"/>
        </w:rPr>
        <w:t>e</w:t>
      </w:r>
      <w:r w:rsidRPr="002F4565">
        <w:rPr>
          <w:lang w:val="pt-BR"/>
        </w:rPr>
        <w:t xml:space="preserve"> </w:t>
      </w:r>
      <w:r w:rsidR="001C2FAC" w:rsidRPr="002F4565">
        <w:rPr>
          <w:lang w:val="pt-BR"/>
        </w:rPr>
        <w:t>enganosas</w:t>
      </w:r>
      <w:r w:rsidRPr="002F4565">
        <w:rPr>
          <w:lang w:val="pt-BR"/>
        </w:rPr>
        <w:t xml:space="preserve"> </w:t>
      </w:r>
      <w:r w:rsidR="00C93834" w:rsidRPr="002F4565">
        <w:rPr>
          <w:lang w:val="pt-BR"/>
        </w:rPr>
        <w:t xml:space="preserve">sobre </w:t>
      </w:r>
      <w:r w:rsidR="0049090C" w:rsidRPr="002F4565">
        <w:rPr>
          <w:lang w:val="pt-BR"/>
        </w:rPr>
        <w:t>saúde</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(e) </w:t>
      </w:r>
      <w:r w:rsidR="00C93834" w:rsidRPr="002F4565">
        <w:rPr>
          <w:lang w:val="pt-BR"/>
        </w:rPr>
        <w:t xml:space="preserve">Abster-se de </w:t>
      </w:r>
      <w:r w:rsidR="009B3C1E" w:rsidRPr="002F4565">
        <w:rPr>
          <w:lang w:val="pt-BR"/>
        </w:rPr>
        <w:t xml:space="preserve">enfraquecer </w:t>
      </w:r>
      <w:r w:rsidR="00C93834" w:rsidRPr="002F4565">
        <w:rPr>
          <w:lang w:val="pt-BR"/>
        </w:rPr>
        <w:t xml:space="preserve">os </w:t>
      </w:r>
      <w:r w:rsidR="00BF5705" w:rsidRPr="002F4565">
        <w:rPr>
          <w:lang w:val="pt-BR"/>
        </w:rPr>
        <w:t>esforço</w:t>
      </w:r>
      <w:r w:rsidRPr="002F4565">
        <w:rPr>
          <w:lang w:val="pt-BR"/>
        </w:rPr>
        <w:t>s</w:t>
      </w:r>
      <w:r w:rsidR="00C93834" w:rsidRPr="002F4565">
        <w:rPr>
          <w:lang w:val="pt-BR"/>
        </w:rPr>
        <w:t xml:space="preserve"> de nutrição da saúde pública</w:t>
      </w:r>
      <w:r w:rsidRPr="002F4565">
        <w:rPr>
          <w:lang w:val="pt-BR"/>
        </w:rPr>
        <w:t xml:space="preserve">, </w:t>
      </w:r>
      <w:r w:rsidR="00F21F55" w:rsidRPr="002F4565">
        <w:rPr>
          <w:lang w:val="pt-BR"/>
        </w:rPr>
        <w:t>inclusive</w:t>
      </w:r>
      <w:r w:rsidRPr="002F4565">
        <w:rPr>
          <w:lang w:val="pt-BR"/>
        </w:rPr>
        <w:t xml:space="preserve"> </w:t>
      </w:r>
      <w:r w:rsidR="00C93834" w:rsidRPr="002F4565">
        <w:rPr>
          <w:lang w:val="pt-BR"/>
        </w:rPr>
        <w:t xml:space="preserve">por meio de financiamentos </w:t>
      </w:r>
      <w:r w:rsidR="0049090C" w:rsidRPr="002F4565">
        <w:rPr>
          <w:lang w:val="pt-BR"/>
        </w:rPr>
        <w:t>e</w:t>
      </w:r>
      <w:r w:rsidRPr="002F4565">
        <w:rPr>
          <w:lang w:val="pt-BR"/>
        </w:rPr>
        <w:t xml:space="preserve"> </w:t>
      </w:r>
      <w:r w:rsidR="00C93834" w:rsidRPr="002F4565">
        <w:rPr>
          <w:lang w:val="pt-BR"/>
        </w:rPr>
        <w:t xml:space="preserve">divulgando </w:t>
      </w:r>
      <w:r w:rsidR="00BF5705" w:rsidRPr="002F4565">
        <w:rPr>
          <w:lang w:val="pt-BR"/>
        </w:rPr>
        <w:t>pesquisas</w:t>
      </w:r>
      <w:r w:rsidR="00C93834" w:rsidRPr="002F4565">
        <w:rPr>
          <w:lang w:val="pt-BR"/>
        </w:rPr>
        <w:t xml:space="preserve"> com vi</w:t>
      </w:r>
      <w:r w:rsidR="00927F84" w:rsidRPr="002F4565">
        <w:rPr>
          <w:lang w:val="pt-BR"/>
        </w:rPr>
        <w:t>e</w:t>
      </w:r>
      <w:r w:rsidR="00C93834" w:rsidRPr="002F4565">
        <w:rPr>
          <w:lang w:val="pt-BR"/>
        </w:rPr>
        <w:t>s</w:t>
      </w:r>
      <w:r w:rsidR="00927F84" w:rsidRPr="002F4565">
        <w:rPr>
          <w:lang w:val="pt-BR"/>
        </w:rPr>
        <w:t>es</w:t>
      </w:r>
      <w:r w:rsidRPr="002F4565">
        <w:rPr>
          <w:lang w:val="pt-BR"/>
        </w:rPr>
        <w:t>, institu</w:t>
      </w:r>
      <w:r w:rsidR="00C93834" w:rsidRPr="002F4565">
        <w:rPr>
          <w:lang w:val="pt-BR"/>
        </w:rPr>
        <w:t xml:space="preserve">indo </w:t>
      </w:r>
      <w:r w:rsidR="00802E44" w:rsidRPr="002F4565">
        <w:rPr>
          <w:lang w:val="pt-BR"/>
        </w:rPr>
        <w:t>grupos</w:t>
      </w:r>
      <w:r w:rsidRPr="002F4565">
        <w:rPr>
          <w:lang w:val="pt-BR"/>
        </w:rPr>
        <w:t xml:space="preserve"> </w:t>
      </w:r>
      <w:r w:rsidR="00C93834" w:rsidRPr="002F4565">
        <w:rPr>
          <w:lang w:val="pt-BR"/>
        </w:rPr>
        <w:t xml:space="preserve">de fachada </w:t>
      </w:r>
      <w:r w:rsidR="0049090C" w:rsidRPr="002F4565">
        <w:rPr>
          <w:lang w:val="pt-BR"/>
        </w:rPr>
        <w:t>e</w:t>
      </w:r>
      <w:r w:rsidRPr="002F4565">
        <w:rPr>
          <w:lang w:val="pt-BR"/>
        </w:rPr>
        <w:t xml:space="preserve"> </w:t>
      </w:r>
      <w:r w:rsidR="00C93834" w:rsidRPr="002F4565">
        <w:rPr>
          <w:lang w:val="pt-BR"/>
        </w:rPr>
        <w:t xml:space="preserve">realizando litígios caros </w:t>
      </w:r>
      <w:r w:rsidR="0049090C" w:rsidRPr="002F4565">
        <w:rPr>
          <w:lang w:val="pt-BR"/>
        </w:rPr>
        <w:t>e</w:t>
      </w:r>
      <w:r w:rsidRPr="002F4565">
        <w:rPr>
          <w:lang w:val="pt-BR"/>
        </w:rPr>
        <w:t xml:space="preserve"> oneros</w:t>
      </w:r>
      <w:r w:rsidR="00C93834" w:rsidRPr="002F4565">
        <w:rPr>
          <w:lang w:val="pt-BR"/>
        </w:rPr>
        <w:t>os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67. </w:t>
      </w:r>
      <w:r w:rsidR="00C93834" w:rsidRPr="002F4565">
        <w:rPr>
          <w:lang w:val="pt-BR"/>
        </w:rPr>
        <w:t xml:space="preserve">Com o objetivo de disponibilizar </w:t>
      </w:r>
      <w:r w:rsidR="0049090C" w:rsidRPr="002F4565">
        <w:rPr>
          <w:lang w:val="pt-BR"/>
        </w:rPr>
        <w:t>e</w:t>
      </w:r>
      <w:r w:rsidRPr="002F4565">
        <w:rPr>
          <w:lang w:val="pt-BR"/>
        </w:rPr>
        <w:t xml:space="preserve"> </w:t>
      </w:r>
      <w:r w:rsidR="00F21F55" w:rsidRPr="002F4565">
        <w:rPr>
          <w:lang w:val="pt-BR"/>
        </w:rPr>
        <w:t>mecanismo</w:t>
      </w:r>
      <w:r w:rsidRPr="002F4565">
        <w:rPr>
          <w:lang w:val="pt-BR"/>
        </w:rPr>
        <w:t xml:space="preserve">s </w:t>
      </w:r>
      <w:r w:rsidR="00927F84" w:rsidRPr="002F4565">
        <w:rPr>
          <w:lang w:val="pt-BR"/>
        </w:rPr>
        <w:t xml:space="preserve">de responsabilização e corretivos </w:t>
      </w:r>
      <w:r w:rsidR="0049090C" w:rsidRPr="002F4565">
        <w:rPr>
          <w:lang w:val="pt-BR"/>
        </w:rPr>
        <w:t>e</w:t>
      </w:r>
      <w:r w:rsidRPr="002F4565">
        <w:rPr>
          <w:lang w:val="pt-BR"/>
        </w:rPr>
        <w:t xml:space="preserve"> </w:t>
      </w:r>
      <w:r w:rsidR="00C93834" w:rsidRPr="002F4565">
        <w:rPr>
          <w:lang w:val="pt-BR"/>
        </w:rPr>
        <w:t xml:space="preserve">torná-los </w:t>
      </w:r>
      <w:r w:rsidR="00624BDC" w:rsidRPr="002F4565">
        <w:rPr>
          <w:lang w:val="pt-BR"/>
        </w:rPr>
        <w:t>acessíveis</w:t>
      </w:r>
      <w:r w:rsidRPr="002F4565">
        <w:rPr>
          <w:lang w:val="pt-BR"/>
        </w:rPr>
        <w:t xml:space="preserve"> </w:t>
      </w:r>
      <w:r w:rsidR="00C93834" w:rsidRPr="002F4565">
        <w:rPr>
          <w:lang w:val="pt-BR"/>
        </w:rPr>
        <w:t xml:space="preserve">às </w:t>
      </w:r>
      <w:r w:rsidRPr="002F4565">
        <w:rPr>
          <w:lang w:val="pt-BR"/>
        </w:rPr>
        <w:t>v</w:t>
      </w:r>
      <w:r w:rsidR="00C93834" w:rsidRPr="002F4565">
        <w:rPr>
          <w:lang w:val="pt-BR"/>
        </w:rPr>
        <w:t>í</w:t>
      </w:r>
      <w:r w:rsidRPr="002F4565">
        <w:rPr>
          <w:lang w:val="pt-BR"/>
        </w:rPr>
        <w:t>tim</w:t>
      </w:r>
      <w:r w:rsidR="00C93834" w:rsidRPr="002F4565">
        <w:rPr>
          <w:lang w:val="pt-BR"/>
        </w:rPr>
        <w:t>as</w:t>
      </w:r>
      <w:r w:rsidRPr="002F4565">
        <w:rPr>
          <w:lang w:val="pt-BR"/>
        </w:rPr>
        <w:t xml:space="preserve"> </w:t>
      </w:r>
      <w:r w:rsidR="0049090C" w:rsidRPr="002F4565">
        <w:rPr>
          <w:lang w:val="pt-BR"/>
        </w:rPr>
        <w:t>de</w:t>
      </w:r>
      <w:r w:rsidRPr="002F4565">
        <w:rPr>
          <w:lang w:val="pt-BR"/>
        </w:rPr>
        <w:t xml:space="preserve"> viol</w:t>
      </w:r>
      <w:r w:rsidR="00F21F55" w:rsidRPr="002F4565">
        <w:rPr>
          <w:lang w:val="pt-BR"/>
        </w:rPr>
        <w:t>ações</w:t>
      </w:r>
      <w:r w:rsidRPr="002F4565">
        <w:rPr>
          <w:lang w:val="pt-BR"/>
        </w:rPr>
        <w:t xml:space="preserve">, </w:t>
      </w:r>
      <w:r w:rsidR="00261A8A" w:rsidRPr="002F4565">
        <w:rPr>
          <w:lang w:val="pt-BR"/>
        </w:rPr>
        <w:t>o</w:t>
      </w:r>
      <w:r w:rsidRPr="002F4565">
        <w:rPr>
          <w:lang w:val="pt-BR"/>
        </w:rPr>
        <w:t xml:space="preserve"> </w:t>
      </w:r>
      <w:r w:rsidR="00261A8A" w:rsidRPr="002F4565">
        <w:rPr>
          <w:lang w:val="pt-BR"/>
        </w:rPr>
        <w:t>Relator Especial</w:t>
      </w:r>
      <w:r w:rsidRPr="002F4565">
        <w:rPr>
          <w:lang w:val="pt-BR"/>
        </w:rPr>
        <w:t xml:space="preserve"> </w:t>
      </w:r>
      <w:r w:rsidR="00B6466A" w:rsidRPr="002F4565">
        <w:rPr>
          <w:lang w:val="pt-BR"/>
        </w:rPr>
        <w:t>recomenda</w:t>
      </w:r>
      <w:r w:rsidRPr="002F4565">
        <w:rPr>
          <w:lang w:val="pt-BR"/>
        </w:rPr>
        <w:t xml:space="preserve"> </w:t>
      </w:r>
      <w:r w:rsidR="006A31E1" w:rsidRPr="002F4565">
        <w:rPr>
          <w:lang w:val="pt-BR"/>
        </w:rPr>
        <w:t>que</w:t>
      </w:r>
      <w:r w:rsidRPr="002F4565">
        <w:rPr>
          <w:lang w:val="pt-BR"/>
        </w:rPr>
        <w:t xml:space="preserve"> </w:t>
      </w:r>
      <w:r w:rsidR="00BA446D" w:rsidRPr="002F4565">
        <w:rPr>
          <w:lang w:val="pt-BR"/>
        </w:rPr>
        <w:t>os Estados</w:t>
      </w:r>
      <w:r w:rsidRPr="002F4565">
        <w:rPr>
          <w:lang w:val="pt-BR"/>
        </w:rPr>
        <w:t xml:space="preserve"> </w:t>
      </w:r>
      <w:r w:rsidR="00B6466A" w:rsidRPr="002F4565">
        <w:rPr>
          <w:lang w:val="pt-BR"/>
        </w:rPr>
        <w:t>tomem as seguintes medidas</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(a) </w:t>
      </w:r>
      <w:r w:rsidR="00C93834" w:rsidRPr="002F4565">
        <w:rPr>
          <w:lang w:val="pt-BR"/>
        </w:rPr>
        <w:t xml:space="preserve">Garantir </w:t>
      </w:r>
      <w:r w:rsidR="006A31E1" w:rsidRPr="002F4565">
        <w:rPr>
          <w:lang w:val="pt-BR"/>
        </w:rPr>
        <w:t>que</w:t>
      </w:r>
      <w:r w:rsidRPr="002F4565">
        <w:rPr>
          <w:lang w:val="pt-BR"/>
        </w:rPr>
        <w:t xml:space="preserve"> </w:t>
      </w:r>
      <w:r w:rsidR="00C93834" w:rsidRPr="002F4565">
        <w:rPr>
          <w:lang w:val="pt-BR"/>
        </w:rPr>
        <w:t xml:space="preserve">os contratos internacionais de </w:t>
      </w:r>
      <w:r w:rsidR="0049090C" w:rsidRPr="002F4565">
        <w:rPr>
          <w:lang w:val="pt-BR"/>
        </w:rPr>
        <w:t>investimento</w:t>
      </w:r>
      <w:r w:rsidR="00C93834" w:rsidRPr="002F4565">
        <w:rPr>
          <w:lang w:val="pt-BR"/>
        </w:rPr>
        <w:t xml:space="preserve">s </w:t>
      </w:r>
      <w:r w:rsidR="0049090C" w:rsidRPr="002F4565">
        <w:rPr>
          <w:lang w:val="pt-BR"/>
        </w:rPr>
        <w:t>e</w:t>
      </w:r>
      <w:r w:rsidRPr="002F4565">
        <w:rPr>
          <w:lang w:val="pt-BR"/>
        </w:rPr>
        <w:t xml:space="preserve"> </w:t>
      </w:r>
      <w:r w:rsidR="00BA446D" w:rsidRPr="002F4565">
        <w:rPr>
          <w:lang w:val="pt-BR"/>
        </w:rPr>
        <w:t>comércio</w:t>
      </w:r>
      <w:r w:rsidRPr="002F4565">
        <w:rPr>
          <w:lang w:val="pt-BR"/>
        </w:rPr>
        <w:t xml:space="preserve"> </w:t>
      </w:r>
      <w:r w:rsidR="00C93834" w:rsidRPr="002F4565">
        <w:rPr>
          <w:lang w:val="pt-BR"/>
        </w:rPr>
        <w:t xml:space="preserve">serão celebrados com total </w:t>
      </w:r>
      <w:r w:rsidRPr="002F4565">
        <w:rPr>
          <w:lang w:val="pt-BR"/>
        </w:rPr>
        <w:t>transpar</w:t>
      </w:r>
      <w:r w:rsidR="003C09F9" w:rsidRPr="002F4565">
        <w:rPr>
          <w:lang w:val="pt-BR"/>
        </w:rPr>
        <w:t>ência</w:t>
      </w:r>
      <w:r w:rsidRPr="002F4565">
        <w:rPr>
          <w:lang w:val="pt-BR"/>
        </w:rPr>
        <w:t xml:space="preserve"> </w:t>
      </w:r>
      <w:r w:rsidR="0049090C" w:rsidRPr="002F4565">
        <w:rPr>
          <w:lang w:val="pt-BR"/>
        </w:rPr>
        <w:t>e</w:t>
      </w:r>
      <w:r w:rsidRPr="002F4565">
        <w:rPr>
          <w:lang w:val="pt-BR"/>
        </w:rPr>
        <w:t xml:space="preserve"> particip</w:t>
      </w:r>
      <w:r w:rsidR="00F21F55" w:rsidRPr="002F4565">
        <w:rPr>
          <w:lang w:val="pt-BR"/>
        </w:rPr>
        <w:t>ação</w:t>
      </w:r>
      <w:r w:rsidRPr="002F4565">
        <w:rPr>
          <w:lang w:val="pt-BR"/>
        </w:rPr>
        <w:t xml:space="preserve"> </w:t>
      </w:r>
      <w:r w:rsidR="00C93834" w:rsidRPr="002F4565">
        <w:rPr>
          <w:lang w:val="pt-BR"/>
        </w:rPr>
        <w:t xml:space="preserve">dos grupos afetados ao realizar </w:t>
      </w:r>
      <w:r w:rsidR="00E62864" w:rsidRPr="002F4565">
        <w:rPr>
          <w:lang w:val="pt-BR"/>
        </w:rPr>
        <w:t>discuss</w:t>
      </w:r>
      <w:r w:rsidR="00C93834" w:rsidRPr="002F4565">
        <w:rPr>
          <w:lang w:val="pt-BR"/>
        </w:rPr>
        <w:t xml:space="preserve">ões abertas antes, durante e depois da </w:t>
      </w:r>
      <w:r w:rsidRPr="002F4565">
        <w:rPr>
          <w:lang w:val="pt-BR"/>
        </w:rPr>
        <w:t>nego</w:t>
      </w:r>
      <w:r w:rsidR="00C93834" w:rsidRPr="002F4565">
        <w:rPr>
          <w:lang w:val="pt-BR"/>
        </w:rPr>
        <w:t>c</w:t>
      </w:r>
      <w:r w:rsidRPr="002F4565">
        <w:rPr>
          <w:lang w:val="pt-BR"/>
        </w:rPr>
        <w:t>i</w:t>
      </w:r>
      <w:r w:rsidR="00F21F55" w:rsidRPr="002F4565">
        <w:rPr>
          <w:lang w:val="pt-BR"/>
        </w:rPr>
        <w:t>ação</w:t>
      </w:r>
      <w:r w:rsidRPr="002F4565">
        <w:rPr>
          <w:lang w:val="pt-BR"/>
        </w:rPr>
        <w:t xml:space="preserve"> </w:t>
      </w:r>
      <w:r w:rsidR="00C93834" w:rsidRPr="002F4565">
        <w:rPr>
          <w:lang w:val="pt-BR"/>
        </w:rPr>
        <w:t>dos contratos</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(b) </w:t>
      </w:r>
      <w:r w:rsidR="007D4857" w:rsidRPr="002F4565">
        <w:rPr>
          <w:lang w:val="pt-BR"/>
        </w:rPr>
        <w:t>Incentivar</w:t>
      </w:r>
      <w:r w:rsidRPr="002F4565">
        <w:rPr>
          <w:lang w:val="pt-BR"/>
        </w:rPr>
        <w:t xml:space="preserve"> </w:t>
      </w:r>
      <w:r w:rsidR="0049090C" w:rsidRPr="002F4565">
        <w:rPr>
          <w:lang w:val="pt-BR"/>
        </w:rPr>
        <w:t>e</w:t>
      </w:r>
      <w:r w:rsidRPr="002F4565">
        <w:rPr>
          <w:lang w:val="pt-BR"/>
        </w:rPr>
        <w:t xml:space="preserve"> promo</w:t>
      </w:r>
      <w:r w:rsidR="00C93834" w:rsidRPr="002F4565">
        <w:rPr>
          <w:lang w:val="pt-BR"/>
        </w:rPr>
        <w:t>ver</w:t>
      </w:r>
      <w:r w:rsidRPr="002F4565">
        <w:rPr>
          <w:lang w:val="pt-BR"/>
        </w:rPr>
        <w:t xml:space="preserve"> </w:t>
      </w:r>
      <w:r w:rsidR="00303A80" w:rsidRPr="002F4565">
        <w:rPr>
          <w:lang w:val="pt-BR"/>
        </w:rPr>
        <w:t>monitoramento</w:t>
      </w:r>
      <w:r w:rsidRPr="002F4565">
        <w:rPr>
          <w:lang w:val="pt-BR"/>
        </w:rPr>
        <w:t xml:space="preserve"> </w:t>
      </w:r>
      <w:r w:rsidR="00C93834" w:rsidRPr="002F4565">
        <w:rPr>
          <w:lang w:val="pt-BR"/>
        </w:rPr>
        <w:t xml:space="preserve">independente </w:t>
      </w:r>
      <w:r w:rsidR="0049090C" w:rsidRPr="002F4565">
        <w:rPr>
          <w:lang w:val="pt-BR"/>
        </w:rPr>
        <w:t>d</w:t>
      </w:r>
      <w:r w:rsidR="00C93834" w:rsidRPr="002F4565">
        <w:rPr>
          <w:lang w:val="pt-BR"/>
        </w:rPr>
        <w:t>as</w:t>
      </w:r>
      <w:r w:rsidRPr="002F4565">
        <w:rPr>
          <w:lang w:val="pt-BR"/>
        </w:rPr>
        <w:t xml:space="preserve"> </w:t>
      </w:r>
      <w:r w:rsidR="00624BDC" w:rsidRPr="002F4565">
        <w:rPr>
          <w:lang w:val="pt-BR"/>
        </w:rPr>
        <w:t>atividades</w:t>
      </w:r>
      <w:r w:rsidRPr="002F4565">
        <w:rPr>
          <w:lang w:val="pt-BR"/>
        </w:rPr>
        <w:t xml:space="preserve"> </w:t>
      </w:r>
      <w:r w:rsidR="0049090C" w:rsidRPr="002F4565">
        <w:rPr>
          <w:lang w:val="pt-BR"/>
        </w:rPr>
        <w:t>d</w:t>
      </w:r>
      <w:r w:rsidR="00261A8A" w:rsidRPr="002F4565">
        <w:rPr>
          <w:lang w:val="pt-BR"/>
        </w:rPr>
        <w:t>o</w:t>
      </w:r>
      <w:r w:rsidRPr="002F4565">
        <w:rPr>
          <w:lang w:val="pt-BR"/>
        </w:rPr>
        <w:t xml:space="preserve"> </w:t>
      </w:r>
      <w:r w:rsidR="006A31E1" w:rsidRPr="002F4565">
        <w:rPr>
          <w:lang w:val="pt-BR"/>
        </w:rPr>
        <w:t>Estado</w:t>
      </w:r>
      <w:r w:rsidRPr="002F4565">
        <w:rPr>
          <w:lang w:val="pt-BR"/>
        </w:rPr>
        <w:t xml:space="preserve"> </w:t>
      </w:r>
      <w:r w:rsidR="0049090C" w:rsidRPr="002F4565">
        <w:rPr>
          <w:lang w:val="pt-BR"/>
        </w:rPr>
        <w:t>e</w:t>
      </w:r>
      <w:r w:rsidRPr="002F4565">
        <w:rPr>
          <w:lang w:val="pt-BR"/>
        </w:rPr>
        <w:t xml:space="preserve"> </w:t>
      </w:r>
      <w:r w:rsidR="00C93834" w:rsidRPr="002F4565">
        <w:rPr>
          <w:lang w:val="pt-BR"/>
        </w:rPr>
        <w:t>d</w:t>
      </w:r>
      <w:r w:rsidR="00927F84" w:rsidRPr="002F4565">
        <w:rPr>
          <w:lang w:val="pt-BR"/>
        </w:rPr>
        <w:t>a</w:t>
      </w:r>
      <w:r w:rsidRPr="002F4565">
        <w:rPr>
          <w:lang w:val="pt-BR"/>
        </w:rPr>
        <w:t xml:space="preserve"> </w:t>
      </w:r>
      <w:r w:rsidR="00F21F55" w:rsidRPr="002F4565">
        <w:rPr>
          <w:lang w:val="pt-BR"/>
        </w:rPr>
        <w:t>indústria de alimentos</w:t>
      </w:r>
      <w:r w:rsidRPr="002F4565">
        <w:rPr>
          <w:lang w:val="pt-BR"/>
        </w:rPr>
        <w:t xml:space="preserve">. </w:t>
      </w:r>
      <w:r w:rsidR="00C93834" w:rsidRPr="002F4565">
        <w:rPr>
          <w:lang w:val="pt-BR"/>
        </w:rPr>
        <w:t xml:space="preserve">Incentivar a </w:t>
      </w:r>
      <w:r w:rsidRPr="002F4565">
        <w:rPr>
          <w:lang w:val="pt-BR"/>
        </w:rPr>
        <w:t>particip</w:t>
      </w:r>
      <w:r w:rsidR="00F21F55" w:rsidRPr="002F4565">
        <w:rPr>
          <w:lang w:val="pt-BR"/>
        </w:rPr>
        <w:t>ação</w:t>
      </w:r>
      <w:r w:rsidRPr="002F4565">
        <w:rPr>
          <w:lang w:val="pt-BR"/>
        </w:rPr>
        <w:t xml:space="preserve"> </w:t>
      </w:r>
      <w:r w:rsidR="0049090C" w:rsidRPr="002F4565">
        <w:rPr>
          <w:lang w:val="pt-BR"/>
        </w:rPr>
        <w:t>d</w:t>
      </w:r>
      <w:r w:rsidR="00C93834" w:rsidRPr="002F4565">
        <w:rPr>
          <w:lang w:val="pt-BR"/>
        </w:rPr>
        <w:t xml:space="preserve">as </w:t>
      </w:r>
      <w:r w:rsidR="006A31E1" w:rsidRPr="002F4565">
        <w:rPr>
          <w:lang w:val="pt-BR"/>
        </w:rPr>
        <w:t>pessoas</w:t>
      </w:r>
      <w:r w:rsidRPr="002F4565">
        <w:rPr>
          <w:lang w:val="pt-BR"/>
        </w:rPr>
        <w:t xml:space="preserve"> </w:t>
      </w:r>
      <w:r w:rsidR="0049090C" w:rsidRPr="002F4565">
        <w:rPr>
          <w:lang w:val="pt-BR"/>
        </w:rPr>
        <w:t>e</w:t>
      </w:r>
      <w:r w:rsidRPr="002F4565">
        <w:rPr>
          <w:lang w:val="pt-BR"/>
        </w:rPr>
        <w:t xml:space="preserve"> </w:t>
      </w:r>
      <w:r w:rsidR="00140D97" w:rsidRPr="002F4565">
        <w:rPr>
          <w:lang w:val="pt-BR"/>
        </w:rPr>
        <w:t>comunidades</w:t>
      </w:r>
      <w:r w:rsidRPr="002F4565">
        <w:rPr>
          <w:lang w:val="pt-BR"/>
        </w:rPr>
        <w:t xml:space="preserve"> </w:t>
      </w:r>
      <w:r w:rsidR="00C93834" w:rsidRPr="002F4565">
        <w:rPr>
          <w:lang w:val="pt-BR"/>
        </w:rPr>
        <w:t xml:space="preserve">locais </w:t>
      </w:r>
      <w:r w:rsidR="00927F84" w:rsidRPr="002F4565">
        <w:rPr>
          <w:lang w:val="pt-BR"/>
        </w:rPr>
        <w:t xml:space="preserve">afetadas </w:t>
      </w:r>
      <w:r w:rsidR="00C93834" w:rsidRPr="002F4565">
        <w:rPr>
          <w:lang w:val="pt-BR"/>
        </w:rPr>
        <w:t xml:space="preserve">no </w:t>
      </w:r>
      <w:r w:rsidR="00303A80" w:rsidRPr="002F4565">
        <w:rPr>
          <w:lang w:val="pt-BR"/>
        </w:rPr>
        <w:t>monitoramento</w:t>
      </w:r>
      <w:r w:rsidRPr="002F4565">
        <w:rPr>
          <w:lang w:val="pt-BR"/>
        </w:rPr>
        <w:t xml:space="preserve"> </w:t>
      </w:r>
      <w:r w:rsidR="00C93834" w:rsidRPr="002F4565">
        <w:rPr>
          <w:lang w:val="pt-BR"/>
        </w:rPr>
        <w:t xml:space="preserve">de tais </w:t>
      </w:r>
      <w:r w:rsidR="00624BDC" w:rsidRPr="002F4565">
        <w:rPr>
          <w:lang w:val="pt-BR"/>
        </w:rPr>
        <w:t>atividades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(c) </w:t>
      </w:r>
      <w:r w:rsidR="00C93834" w:rsidRPr="002F4565">
        <w:rPr>
          <w:lang w:val="pt-BR"/>
        </w:rPr>
        <w:t xml:space="preserve">Garantir </w:t>
      </w:r>
      <w:r w:rsidR="005A25F5" w:rsidRPr="002F4565">
        <w:rPr>
          <w:lang w:val="pt-BR"/>
        </w:rPr>
        <w:t>recursos</w:t>
      </w:r>
      <w:r w:rsidRPr="002F4565">
        <w:rPr>
          <w:lang w:val="pt-BR"/>
        </w:rPr>
        <w:t xml:space="preserve"> </w:t>
      </w:r>
      <w:r w:rsidR="00C93834" w:rsidRPr="002F4565">
        <w:rPr>
          <w:lang w:val="pt-BR"/>
        </w:rPr>
        <w:t xml:space="preserve">por meio da </w:t>
      </w:r>
      <w:r w:rsidRPr="002F4565">
        <w:rPr>
          <w:lang w:val="pt-BR"/>
        </w:rPr>
        <w:t>legisl</w:t>
      </w:r>
      <w:r w:rsidR="00F21F55" w:rsidRPr="002F4565">
        <w:rPr>
          <w:lang w:val="pt-BR"/>
        </w:rPr>
        <w:t>ação</w:t>
      </w:r>
      <w:r w:rsidRPr="002F4565">
        <w:rPr>
          <w:lang w:val="pt-BR"/>
        </w:rPr>
        <w:t xml:space="preserve"> </w:t>
      </w:r>
      <w:r w:rsidR="0049090C" w:rsidRPr="002F4565">
        <w:rPr>
          <w:lang w:val="pt-BR"/>
        </w:rPr>
        <w:t>e</w:t>
      </w:r>
      <w:r w:rsidRPr="002F4565">
        <w:rPr>
          <w:lang w:val="pt-BR"/>
        </w:rPr>
        <w:t xml:space="preserve"> </w:t>
      </w:r>
      <w:r w:rsidR="00F21F55" w:rsidRPr="002F4565">
        <w:rPr>
          <w:lang w:val="pt-BR"/>
        </w:rPr>
        <w:t>mecanismo</w:t>
      </w:r>
      <w:r w:rsidRPr="002F4565">
        <w:rPr>
          <w:lang w:val="pt-BR"/>
        </w:rPr>
        <w:t xml:space="preserve">s </w:t>
      </w:r>
      <w:r w:rsidR="00C93834" w:rsidRPr="002F4565">
        <w:rPr>
          <w:lang w:val="pt-BR"/>
        </w:rPr>
        <w:t xml:space="preserve">apropriados contra agentes dos </w:t>
      </w:r>
      <w:r w:rsidR="00BA446D" w:rsidRPr="002F4565">
        <w:rPr>
          <w:lang w:val="pt-BR"/>
        </w:rPr>
        <w:t>Estados</w:t>
      </w:r>
      <w:r w:rsidRPr="002F4565">
        <w:rPr>
          <w:lang w:val="pt-BR"/>
        </w:rPr>
        <w:t xml:space="preserve"> </w:t>
      </w:r>
      <w:r w:rsidR="0049090C" w:rsidRPr="002F4565">
        <w:rPr>
          <w:lang w:val="pt-BR"/>
        </w:rPr>
        <w:t>e</w:t>
      </w:r>
      <w:r w:rsidRPr="002F4565">
        <w:rPr>
          <w:lang w:val="pt-BR"/>
        </w:rPr>
        <w:t xml:space="preserve"> </w:t>
      </w:r>
      <w:r w:rsidR="00C93834" w:rsidRPr="002F4565">
        <w:rPr>
          <w:lang w:val="pt-BR"/>
        </w:rPr>
        <w:t xml:space="preserve">não pertencentes aos </w:t>
      </w:r>
      <w:r w:rsidR="006A31E1" w:rsidRPr="002F4565">
        <w:rPr>
          <w:lang w:val="pt-BR"/>
        </w:rPr>
        <w:t>Estado</w:t>
      </w:r>
      <w:r w:rsidR="00C93834" w:rsidRPr="002F4565">
        <w:rPr>
          <w:lang w:val="pt-BR"/>
        </w:rPr>
        <w:t>s</w:t>
      </w:r>
      <w:r w:rsidRPr="002F4565">
        <w:rPr>
          <w:lang w:val="pt-BR"/>
        </w:rPr>
        <w:t xml:space="preserve"> </w:t>
      </w:r>
      <w:r w:rsidR="00C93834" w:rsidRPr="002F4565">
        <w:rPr>
          <w:lang w:val="pt-BR"/>
        </w:rPr>
        <w:t xml:space="preserve">por deixar de tomar medidas em relação às suas </w:t>
      </w:r>
      <w:r w:rsidR="00F21F55" w:rsidRPr="002F4565">
        <w:rPr>
          <w:lang w:val="pt-BR"/>
        </w:rPr>
        <w:t>obrigações</w:t>
      </w:r>
      <w:r w:rsidRPr="002F4565">
        <w:rPr>
          <w:lang w:val="pt-BR"/>
        </w:rPr>
        <w:t xml:space="preserve"> </w:t>
      </w:r>
      <w:r w:rsidR="00C93834" w:rsidRPr="002F4565">
        <w:rPr>
          <w:lang w:val="pt-BR"/>
        </w:rPr>
        <w:t xml:space="preserve">segundo o </w:t>
      </w:r>
      <w:r w:rsidR="00F21F55" w:rsidRPr="002F4565">
        <w:rPr>
          <w:lang w:val="pt-BR"/>
        </w:rPr>
        <w:t>direito à saúde</w:t>
      </w:r>
      <w:r w:rsidRPr="002F4565">
        <w:rPr>
          <w:lang w:val="pt-BR"/>
        </w:rPr>
        <w:t xml:space="preserve"> </w:t>
      </w:r>
      <w:r w:rsidR="0049090C" w:rsidRPr="002F4565">
        <w:rPr>
          <w:lang w:val="pt-BR"/>
        </w:rPr>
        <w:t>e</w:t>
      </w:r>
      <w:r w:rsidRPr="002F4565">
        <w:rPr>
          <w:lang w:val="pt-BR"/>
        </w:rPr>
        <w:t xml:space="preserve"> </w:t>
      </w:r>
      <w:r w:rsidR="00C93834" w:rsidRPr="002F4565">
        <w:rPr>
          <w:lang w:val="pt-BR"/>
        </w:rPr>
        <w:t xml:space="preserve">para cumprir seus compromissos </w:t>
      </w:r>
      <w:r w:rsidR="00F21F55" w:rsidRPr="002F4565">
        <w:rPr>
          <w:lang w:val="pt-BR"/>
        </w:rPr>
        <w:t>internaciona</w:t>
      </w:r>
      <w:r w:rsidR="00C93834" w:rsidRPr="002F4565">
        <w:rPr>
          <w:lang w:val="pt-BR"/>
        </w:rPr>
        <w:t xml:space="preserve">is para a </w:t>
      </w:r>
      <w:r w:rsidR="00F21F55" w:rsidRPr="002F4565">
        <w:rPr>
          <w:lang w:val="pt-BR"/>
        </w:rPr>
        <w:t>redução</w:t>
      </w:r>
      <w:r w:rsidRPr="002F4565">
        <w:rPr>
          <w:lang w:val="pt-BR"/>
        </w:rPr>
        <w:t xml:space="preserve"> </w:t>
      </w:r>
      <w:r w:rsidR="0049090C" w:rsidRPr="002F4565">
        <w:rPr>
          <w:lang w:val="pt-BR"/>
        </w:rPr>
        <w:t>de</w:t>
      </w:r>
      <w:r w:rsidRPr="002F4565">
        <w:rPr>
          <w:lang w:val="pt-BR"/>
        </w:rPr>
        <w:t xml:space="preserve"> </w:t>
      </w:r>
      <w:r w:rsidR="0049090C" w:rsidRPr="002F4565">
        <w:rPr>
          <w:lang w:val="pt-BR"/>
        </w:rPr>
        <w:t>DNTs relacionadas com a dieta</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68. </w:t>
      </w:r>
      <w:r w:rsidR="00214AEE" w:rsidRPr="002F4565">
        <w:rPr>
          <w:lang w:val="pt-BR"/>
        </w:rPr>
        <w:t xml:space="preserve">No que se refere às </w:t>
      </w:r>
      <w:r w:rsidR="00F21F55" w:rsidRPr="002F4565">
        <w:rPr>
          <w:lang w:val="pt-BR"/>
        </w:rPr>
        <w:t>obrigações</w:t>
      </w:r>
      <w:r w:rsidRPr="002F4565">
        <w:rPr>
          <w:lang w:val="pt-BR"/>
        </w:rPr>
        <w:t xml:space="preserve"> </w:t>
      </w:r>
      <w:r w:rsidR="00214AEE" w:rsidRPr="002F4565">
        <w:rPr>
          <w:lang w:val="pt-BR"/>
        </w:rPr>
        <w:t xml:space="preserve">internacionais dos </w:t>
      </w:r>
      <w:r w:rsidR="004069A0" w:rsidRPr="002F4565">
        <w:rPr>
          <w:lang w:val="pt-BR"/>
        </w:rPr>
        <w:t>Estados</w:t>
      </w:r>
      <w:r w:rsidRPr="002F4565">
        <w:rPr>
          <w:lang w:val="pt-BR"/>
        </w:rPr>
        <w:t xml:space="preserve">, </w:t>
      </w:r>
      <w:r w:rsidR="00261A8A" w:rsidRPr="002F4565">
        <w:rPr>
          <w:lang w:val="pt-BR"/>
        </w:rPr>
        <w:t>o</w:t>
      </w:r>
      <w:r w:rsidRPr="002F4565">
        <w:rPr>
          <w:lang w:val="pt-BR"/>
        </w:rPr>
        <w:t xml:space="preserve"> </w:t>
      </w:r>
      <w:r w:rsidR="00261A8A" w:rsidRPr="002F4565">
        <w:rPr>
          <w:lang w:val="pt-BR"/>
        </w:rPr>
        <w:t>Relator Especial</w:t>
      </w:r>
      <w:r w:rsidRPr="002F4565">
        <w:rPr>
          <w:lang w:val="pt-BR"/>
        </w:rPr>
        <w:t xml:space="preserve"> recomend</w:t>
      </w:r>
      <w:r w:rsidR="00214AEE" w:rsidRPr="002F4565">
        <w:rPr>
          <w:lang w:val="pt-BR"/>
        </w:rPr>
        <w:t>a</w:t>
      </w:r>
      <w:r w:rsidRPr="002F4565">
        <w:rPr>
          <w:lang w:val="pt-BR"/>
        </w:rPr>
        <w:t xml:space="preserve"> </w:t>
      </w:r>
      <w:r w:rsidR="006A31E1" w:rsidRPr="002F4565">
        <w:rPr>
          <w:lang w:val="pt-BR"/>
        </w:rPr>
        <w:t>que</w:t>
      </w:r>
      <w:r w:rsidRPr="002F4565">
        <w:rPr>
          <w:lang w:val="pt-BR"/>
        </w:rPr>
        <w:t xml:space="preserve"> </w:t>
      </w:r>
      <w:r w:rsidR="00214AEE" w:rsidRPr="002F4565">
        <w:rPr>
          <w:lang w:val="pt-BR"/>
        </w:rPr>
        <w:t>o</w:t>
      </w:r>
      <w:r w:rsidR="004069A0" w:rsidRPr="002F4565">
        <w:rPr>
          <w:lang w:val="pt-BR"/>
        </w:rPr>
        <w:t>s Estados</w:t>
      </w:r>
      <w:r w:rsidRPr="002F4565">
        <w:rPr>
          <w:lang w:val="pt-BR"/>
        </w:rPr>
        <w:t xml:space="preserve"> </w:t>
      </w:r>
      <w:r w:rsidR="00214AEE" w:rsidRPr="002F4565">
        <w:rPr>
          <w:lang w:val="pt-BR"/>
        </w:rPr>
        <w:t>adotem as seguintes medidas</w:t>
      </w:r>
      <w:r w:rsidRPr="002F4565">
        <w:rPr>
          <w:lang w:val="pt-BR"/>
        </w:rPr>
        <w:t>:</w:t>
      </w:r>
    </w:p>
    <w:p w:rsidR="00115B91" w:rsidRPr="002F4565" w:rsidRDefault="00115B91" w:rsidP="0051636A">
      <w:pPr>
        <w:spacing w:before="120" w:after="0" w:line="240" w:lineRule="auto"/>
        <w:rPr>
          <w:lang w:val="pt-BR"/>
        </w:rPr>
      </w:pPr>
      <w:r w:rsidRPr="002F4565">
        <w:rPr>
          <w:lang w:val="pt-BR"/>
        </w:rPr>
        <w:t xml:space="preserve">(a) </w:t>
      </w:r>
      <w:r w:rsidR="00214AEE" w:rsidRPr="002F4565">
        <w:rPr>
          <w:lang w:val="pt-BR"/>
        </w:rPr>
        <w:t>Concordar sobre a primazia d</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FB4DE4" w:rsidRPr="002F4565">
        <w:rPr>
          <w:lang w:val="pt-BR"/>
        </w:rPr>
        <w:t>em</w:t>
      </w:r>
      <w:r w:rsidRPr="002F4565">
        <w:rPr>
          <w:lang w:val="pt-BR"/>
        </w:rPr>
        <w:t xml:space="preserve"> </w:t>
      </w:r>
      <w:r w:rsidR="00214AEE" w:rsidRPr="002F4565">
        <w:rPr>
          <w:lang w:val="pt-BR"/>
        </w:rPr>
        <w:t xml:space="preserve">contratos de </w:t>
      </w:r>
      <w:r w:rsidR="0049090C" w:rsidRPr="002F4565">
        <w:rPr>
          <w:lang w:val="pt-BR"/>
        </w:rPr>
        <w:t>investimento</w:t>
      </w:r>
      <w:r w:rsidR="00214AEE" w:rsidRPr="002F4565">
        <w:rPr>
          <w:lang w:val="pt-BR"/>
        </w:rPr>
        <w:t>s e de comércio internaciona</w:t>
      </w:r>
      <w:r w:rsidR="00927F84" w:rsidRPr="002F4565">
        <w:rPr>
          <w:lang w:val="pt-BR"/>
        </w:rPr>
        <w:t>l</w:t>
      </w:r>
      <w:r w:rsidRPr="002F4565">
        <w:rPr>
          <w:lang w:val="pt-BR"/>
        </w:rPr>
        <w:t xml:space="preserve"> </w:t>
      </w:r>
      <w:r w:rsidR="0049090C" w:rsidRPr="002F4565">
        <w:rPr>
          <w:lang w:val="pt-BR"/>
        </w:rPr>
        <w:t>e</w:t>
      </w:r>
      <w:r w:rsidRPr="002F4565">
        <w:rPr>
          <w:lang w:val="pt-BR"/>
        </w:rPr>
        <w:t xml:space="preserve"> </w:t>
      </w:r>
      <w:r w:rsidR="006A31E1" w:rsidRPr="002F4565">
        <w:rPr>
          <w:lang w:val="pt-BR"/>
        </w:rPr>
        <w:t>garantir</w:t>
      </w:r>
      <w:r w:rsidRPr="002F4565">
        <w:rPr>
          <w:lang w:val="pt-BR"/>
        </w:rPr>
        <w:t xml:space="preserve"> </w:t>
      </w:r>
      <w:r w:rsidR="006A31E1" w:rsidRPr="002F4565">
        <w:rPr>
          <w:lang w:val="pt-BR"/>
        </w:rPr>
        <w:t>que</w:t>
      </w:r>
      <w:r w:rsidRPr="002F4565">
        <w:rPr>
          <w:lang w:val="pt-BR"/>
        </w:rPr>
        <w:t xml:space="preserve"> </w:t>
      </w:r>
      <w:r w:rsidR="00261A8A" w:rsidRPr="002F4565">
        <w:rPr>
          <w:lang w:val="pt-BR"/>
        </w:rPr>
        <w:t>o</w:t>
      </w:r>
      <w:r w:rsidRPr="002F4565">
        <w:rPr>
          <w:lang w:val="pt-BR"/>
        </w:rPr>
        <w:t xml:space="preserve"> </w:t>
      </w:r>
      <w:r w:rsidR="00F21F55" w:rsidRPr="002F4565">
        <w:rPr>
          <w:lang w:val="pt-BR"/>
        </w:rPr>
        <w:t>direito à saúde</w:t>
      </w:r>
      <w:r w:rsidRPr="002F4565">
        <w:rPr>
          <w:lang w:val="pt-BR"/>
        </w:rPr>
        <w:t xml:space="preserve"> </w:t>
      </w:r>
      <w:r w:rsidR="00214AEE" w:rsidRPr="002F4565">
        <w:rPr>
          <w:lang w:val="pt-BR"/>
        </w:rPr>
        <w:t xml:space="preserve">não será comprometido pelas disposições destes contratos </w:t>
      </w:r>
      <w:r w:rsidR="003F41C2" w:rsidRPr="002F4565">
        <w:rPr>
          <w:lang w:val="pt-BR"/>
        </w:rPr>
        <w:t>ou</w:t>
      </w:r>
      <w:r w:rsidRPr="002F4565">
        <w:rPr>
          <w:lang w:val="pt-BR"/>
        </w:rPr>
        <w:t xml:space="preserve"> </w:t>
      </w:r>
      <w:r w:rsidR="00214AEE" w:rsidRPr="002F4565">
        <w:rPr>
          <w:lang w:val="pt-BR"/>
        </w:rPr>
        <w:t xml:space="preserve">sua </w:t>
      </w:r>
      <w:r w:rsidRPr="002F4565">
        <w:rPr>
          <w:lang w:val="pt-BR"/>
        </w:rPr>
        <w:t>impl</w:t>
      </w:r>
      <w:r w:rsidR="00927F84" w:rsidRPr="002F4565">
        <w:rPr>
          <w:lang w:val="pt-BR"/>
        </w:rPr>
        <w:t>a</w:t>
      </w:r>
      <w:r w:rsidRPr="002F4565">
        <w:rPr>
          <w:lang w:val="pt-BR"/>
        </w:rPr>
        <w:t>nt</w:t>
      </w:r>
      <w:r w:rsidR="00F21F55" w:rsidRPr="002F4565">
        <w:rPr>
          <w:lang w:val="pt-BR"/>
        </w:rPr>
        <w:t>ação</w:t>
      </w:r>
      <w:r w:rsidRPr="002F4565">
        <w:rPr>
          <w:lang w:val="pt-BR"/>
        </w:rPr>
        <w:t>;</w:t>
      </w:r>
    </w:p>
    <w:p w:rsidR="00115B91" w:rsidRPr="002F4565" w:rsidRDefault="00115B91" w:rsidP="0051636A">
      <w:pPr>
        <w:spacing w:before="120" w:after="0" w:line="240" w:lineRule="auto"/>
        <w:rPr>
          <w:lang w:val="pt-BR"/>
        </w:rPr>
      </w:pPr>
      <w:r w:rsidRPr="002F4565">
        <w:rPr>
          <w:lang w:val="pt-BR"/>
        </w:rPr>
        <w:t>(b) E</w:t>
      </w:r>
      <w:r w:rsidR="00214AEE" w:rsidRPr="002F4565">
        <w:rPr>
          <w:lang w:val="pt-BR"/>
        </w:rPr>
        <w:t xml:space="preserve">stender a </w:t>
      </w:r>
      <w:r w:rsidR="00F21F55" w:rsidRPr="002F4565">
        <w:rPr>
          <w:lang w:val="pt-BR"/>
        </w:rPr>
        <w:t>assistência</w:t>
      </w:r>
      <w:r w:rsidRPr="002F4565">
        <w:rPr>
          <w:lang w:val="pt-BR"/>
        </w:rPr>
        <w:t xml:space="preserve"> </w:t>
      </w:r>
      <w:r w:rsidR="0049090C" w:rsidRPr="002F4565">
        <w:rPr>
          <w:lang w:val="pt-BR"/>
        </w:rPr>
        <w:t>e</w:t>
      </w:r>
      <w:r w:rsidRPr="002F4565">
        <w:rPr>
          <w:lang w:val="pt-BR"/>
        </w:rPr>
        <w:t xml:space="preserve"> cooper</w:t>
      </w:r>
      <w:r w:rsidR="00F21F55" w:rsidRPr="002F4565">
        <w:rPr>
          <w:lang w:val="pt-BR"/>
        </w:rPr>
        <w:t>ação</w:t>
      </w:r>
      <w:r w:rsidRPr="002F4565">
        <w:rPr>
          <w:lang w:val="pt-BR"/>
        </w:rPr>
        <w:t xml:space="preserve"> </w:t>
      </w:r>
      <w:r w:rsidR="00214AEE" w:rsidRPr="002F4565">
        <w:rPr>
          <w:lang w:val="pt-BR"/>
        </w:rPr>
        <w:t>a</w:t>
      </w:r>
      <w:r w:rsidRPr="002F4565">
        <w:rPr>
          <w:lang w:val="pt-BR"/>
        </w:rPr>
        <w:t xml:space="preserve"> </w:t>
      </w:r>
      <w:r w:rsidR="003F41C2" w:rsidRPr="002F4565">
        <w:rPr>
          <w:lang w:val="pt-BR"/>
        </w:rPr>
        <w:t>outros</w:t>
      </w:r>
      <w:r w:rsidRPr="002F4565">
        <w:rPr>
          <w:lang w:val="pt-BR"/>
        </w:rPr>
        <w:t xml:space="preserve"> </w:t>
      </w:r>
      <w:r w:rsidR="004069A0" w:rsidRPr="002F4565">
        <w:rPr>
          <w:lang w:val="pt-BR"/>
        </w:rPr>
        <w:t>Estados</w:t>
      </w:r>
      <w:r w:rsidRPr="002F4565">
        <w:rPr>
          <w:lang w:val="pt-BR"/>
        </w:rPr>
        <w:t xml:space="preserve">, </w:t>
      </w:r>
      <w:r w:rsidR="00214AEE" w:rsidRPr="002F4565">
        <w:rPr>
          <w:lang w:val="pt-BR"/>
        </w:rPr>
        <w:t>que</w:t>
      </w:r>
      <w:r w:rsidRPr="002F4565">
        <w:rPr>
          <w:lang w:val="pt-BR"/>
        </w:rPr>
        <w:t xml:space="preserve">, </w:t>
      </w:r>
      <w:r w:rsidR="00214AEE" w:rsidRPr="002F4565">
        <w:rPr>
          <w:lang w:val="pt-BR"/>
        </w:rPr>
        <w:t xml:space="preserve">devido aos recursos limitados a eles </w:t>
      </w:r>
      <w:r w:rsidR="00B5729E" w:rsidRPr="002F4565">
        <w:rPr>
          <w:lang w:val="pt-BR"/>
        </w:rPr>
        <w:t>disponíveis</w:t>
      </w:r>
      <w:r w:rsidRPr="002F4565">
        <w:rPr>
          <w:lang w:val="pt-BR"/>
        </w:rPr>
        <w:t xml:space="preserve">, </w:t>
      </w:r>
      <w:r w:rsidR="00927F84" w:rsidRPr="002F4565">
        <w:rPr>
          <w:lang w:val="pt-BR"/>
        </w:rPr>
        <w:t xml:space="preserve">talvez não consigam </w:t>
      </w:r>
      <w:r w:rsidR="00214AEE" w:rsidRPr="002F4565">
        <w:rPr>
          <w:lang w:val="pt-BR"/>
        </w:rPr>
        <w:t xml:space="preserve">atingir os </w:t>
      </w:r>
      <w:r w:rsidR="003C09F9" w:rsidRPr="002F4565">
        <w:rPr>
          <w:lang w:val="pt-BR"/>
        </w:rPr>
        <w:t>padrões</w:t>
      </w:r>
      <w:r w:rsidR="00214AEE" w:rsidRPr="002F4565">
        <w:rPr>
          <w:lang w:val="pt-BR"/>
        </w:rPr>
        <w:t xml:space="preserve"> de nutrição exigidos</w:t>
      </w:r>
      <w:r w:rsidRPr="002F4565">
        <w:rPr>
          <w:lang w:val="pt-BR"/>
        </w:rPr>
        <w:t xml:space="preserve">, </w:t>
      </w:r>
      <w:r w:rsidR="00214AEE" w:rsidRPr="002F4565">
        <w:rPr>
          <w:lang w:val="pt-BR"/>
        </w:rPr>
        <w:t xml:space="preserve">levando ao aumento do </w:t>
      </w:r>
      <w:r w:rsidR="00F21F55" w:rsidRPr="002F4565">
        <w:rPr>
          <w:lang w:val="pt-BR"/>
        </w:rPr>
        <w:t>ônus</w:t>
      </w:r>
      <w:r w:rsidRPr="002F4565">
        <w:rPr>
          <w:lang w:val="pt-BR"/>
        </w:rPr>
        <w:t xml:space="preserve"> </w:t>
      </w:r>
      <w:r w:rsidR="0049090C" w:rsidRPr="002F4565">
        <w:rPr>
          <w:lang w:val="pt-BR"/>
        </w:rPr>
        <w:t>d</w:t>
      </w:r>
      <w:r w:rsidR="00214AEE" w:rsidRPr="002F4565">
        <w:rPr>
          <w:lang w:val="pt-BR"/>
        </w:rPr>
        <w:t>as</w:t>
      </w:r>
      <w:r w:rsidRPr="002F4565">
        <w:rPr>
          <w:lang w:val="pt-BR"/>
        </w:rPr>
        <w:t xml:space="preserve"> </w:t>
      </w:r>
      <w:r w:rsidR="0049090C" w:rsidRPr="002F4565">
        <w:rPr>
          <w:lang w:val="pt-BR"/>
        </w:rPr>
        <w:t>DNTs relacionadas com a dieta</w:t>
      </w:r>
      <w:r w:rsidRPr="002F4565">
        <w:rPr>
          <w:lang w:val="pt-BR"/>
        </w:rPr>
        <w:t xml:space="preserve">; </w:t>
      </w:r>
    </w:p>
    <w:p w:rsidR="00115B91" w:rsidRPr="002F4565" w:rsidRDefault="00115B91" w:rsidP="0051636A">
      <w:pPr>
        <w:spacing w:before="120" w:after="0" w:line="240" w:lineRule="auto"/>
        <w:rPr>
          <w:lang w:val="pt-BR"/>
        </w:rPr>
      </w:pPr>
      <w:r w:rsidRPr="002F4565">
        <w:rPr>
          <w:lang w:val="pt-BR"/>
        </w:rPr>
        <w:t xml:space="preserve">(c) </w:t>
      </w:r>
      <w:r w:rsidR="002E1AA7" w:rsidRPr="002F4565">
        <w:rPr>
          <w:lang w:val="pt-BR"/>
        </w:rPr>
        <w:t>Formular</w:t>
      </w:r>
      <w:r w:rsidRPr="002F4565">
        <w:rPr>
          <w:lang w:val="pt-BR"/>
        </w:rPr>
        <w:t xml:space="preserve"> </w:t>
      </w:r>
      <w:r w:rsidR="00140D97" w:rsidRPr="002F4565">
        <w:rPr>
          <w:lang w:val="pt-BR"/>
        </w:rPr>
        <w:t xml:space="preserve">metas e </w:t>
      </w:r>
      <w:r w:rsidR="00927F84" w:rsidRPr="002F4565">
        <w:rPr>
          <w:lang w:val="pt-BR"/>
        </w:rPr>
        <w:t xml:space="preserve">adotar medidas </w:t>
      </w:r>
      <w:r w:rsidR="00140D97" w:rsidRPr="002F4565">
        <w:rPr>
          <w:lang w:val="pt-BR"/>
        </w:rPr>
        <w:t>concret</w:t>
      </w:r>
      <w:r w:rsidR="00927F84" w:rsidRPr="002F4565">
        <w:rPr>
          <w:lang w:val="pt-BR"/>
        </w:rPr>
        <w:t>a</w:t>
      </w:r>
      <w:r w:rsidR="00140D97" w:rsidRPr="002F4565">
        <w:rPr>
          <w:lang w:val="pt-BR"/>
        </w:rPr>
        <w:t>s</w:t>
      </w:r>
      <w:r w:rsidRPr="002F4565">
        <w:rPr>
          <w:lang w:val="pt-BR"/>
        </w:rPr>
        <w:t xml:space="preserve">, </w:t>
      </w:r>
      <w:r w:rsidR="00140D97" w:rsidRPr="002F4565">
        <w:rPr>
          <w:lang w:val="pt-BR"/>
        </w:rPr>
        <w:t>em conjunto e individualmente</w:t>
      </w:r>
      <w:r w:rsidRPr="002F4565">
        <w:rPr>
          <w:lang w:val="pt-BR"/>
        </w:rPr>
        <w:t xml:space="preserve">, </w:t>
      </w:r>
      <w:r w:rsidR="00140D97" w:rsidRPr="002F4565">
        <w:rPr>
          <w:lang w:val="pt-BR"/>
        </w:rPr>
        <w:t xml:space="preserve">para reduzir o </w:t>
      </w:r>
      <w:r w:rsidR="00F21F55" w:rsidRPr="002F4565">
        <w:rPr>
          <w:lang w:val="pt-BR"/>
        </w:rPr>
        <w:t>ônus</w:t>
      </w:r>
      <w:r w:rsidRPr="002F4565">
        <w:rPr>
          <w:lang w:val="pt-BR"/>
        </w:rPr>
        <w:t xml:space="preserve"> </w:t>
      </w:r>
      <w:r w:rsidR="0049090C" w:rsidRPr="002F4565">
        <w:rPr>
          <w:lang w:val="pt-BR"/>
        </w:rPr>
        <w:t>d</w:t>
      </w:r>
      <w:r w:rsidR="00140D97" w:rsidRPr="002F4565">
        <w:rPr>
          <w:lang w:val="pt-BR"/>
        </w:rPr>
        <w:t>as</w:t>
      </w:r>
      <w:r w:rsidRPr="002F4565">
        <w:rPr>
          <w:lang w:val="pt-BR"/>
        </w:rPr>
        <w:t xml:space="preserve"> </w:t>
      </w:r>
      <w:r w:rsidR="0049090C" w:rsidRPr="002F4565">
        <w:rPr>
          <w:lang w:val="pt-BR"/>
        </w:rPr>
        <w:t>DNTs relacionadas com a dieta</w:t>
      </w:r>
      <w:r w:rsidR="00927F84" w:rsidRPr="002F4565">
        <w:rPr>
          <w:lang w:val="pt-BR"/>
        </w:rPr>
        <w:t>,</w:t>
      </w:r>
      <w:r w:rsidRPr="002F4565">
        <w:rPr>
          <w:lang w:val="pt-BR"/>
        </w:rPr>
        <w:t xml:space="preserve"> </w:t>
      </w:r>
      <w:r w:rsidR="00140D97" w:rsidRPr="002F4565">
        <w:rPr>
          <w:lang w:val="pt-BR"/>
        </w:rPr>
        <w:t xml:space="preserve">de maneira </w:t>
      </w:r>
      <w:r w:rsidR="00927F84" w:rsidRPr="002F4565">
        <w:rPr>
          <w:lang w:val="pt-BR"/>
        </w:rPr>
        <w:t xml:space="preserve">a </w:t>
      </w:r>
      <w:r w:rsidR="00F21F55" w:rsidRPr="002F4565">
        <w:rPr>
          <w:lang w:val="pt-BR"/>
        </w:rPr>
        <w:t>também</w:t>
      </w:r>
      <w:r w:rsidRPr="002F4565">
        <w:rPr>
          <w:lang w:val="pt-BR"/>
        </w:rPr>
        <w:t xml:space="preserve"> </w:t>
      </w:r>
      <w:r w:rsidR="00140D97" w:rsidRPr="002F4565">
        <w:rPr>
          <w:lang w:val="pt-BR"/>
        </w:rPr>
        <w:t>lev</w:t>
      </w:r>
      <w:r w:rsidR="00927F84" w:rsidRPr="002F4565">
        <w:rPr>
          <w:lang w:val="pt-BR"/>
        </w:rPr>
        <w:t>ar</w:t>
      </w:r>
      <w:r w:rsidR="00140D97" w:rsidRPr="002F4565">
        <w:rPr>
          <w:lang w:val="pt-BR"/>
        </w:rPr>
        <w:t xml:space="preserve"> em conta os recursos </w:t>
      </w:r>
      <w:r w:rsidR="00B5729E" w:rsidRPr="002F4565">
        <w:rPr>
          <w:lang w:val="pt-BR"/>
        </w:rPr>
        <w:t>disponíveis</w:t>
      </w:r>
      <w:r w:rsidRPr="002F4565">
        <w:rPr>
          <w:lang w:val="pt-BR"/>
        </w:rPr>
        <w:t xml:space="preserve"> </w:t>
      </w:r>
      <w:r w:rsidR="0049090C" w:rsidRPr="002F4565">
        <w:rPr>
          <w:lang w:val="pt-BR"/>
        </w:rPr>
        <w:t>de</w:t>
      </w:r>
      <w:r w:rsidRPr="002F4565">
        <w:rPr>
          <w:lang w:val="pt-BR"/>
        </w:rPr>
        <w:t xml:space="preserve"> </w:t>
      </w:r>
      <w:r w:rsidR="00140D97" w:rsidRPr="002F4565">
        <w:rPr>
          <w:lang w:val="pt-BR"/>
        </w:rPr>
        <w:t>cada</w:t>
      </w:r>
      <w:r w:rsidRPr="002F4565">
        <w:rPr>
          <w:lang w:val="pt-BR"/>
        </w:rPr>
        <w:t xml:space="preserve"> </w:t>
      </w:r>
      <w:r w:rsidR="006A31E1" w:rsidRPr="002F4565">
        <w:rPr>
          <w:lang w:val="pt-BR"/>
        </w:rPr>
        <w:t>Estado</w:t>
      </w:r>
      <w:r w:rsidRPr="002F4565">
        <w:rPr>
          <w:lang w:val="pt-BR"/>
        </w:rPr>
        <w:t>.</w:t>
      </w:r>
    </w:p>
    <w:p w:rsidR="002F4565" w:rsidRPr="002F4565" w:rsidRDefault="002F4565" w:rsidP="002F4565">
      <w:pPr>
        <w:spacing w:before="120" w:after="0" w:line="240" w:lineRule="auto"/>
        <w:rPr>
          <w:lang w:val="pt-BR"/>
        </w:rPr>
      </w:pPr>
    </w:p>
    <w:p w:rsidR="002F4565" w:rsidRPr="002F4565" w:rsidRDefault="002F4565">
      <w:pPr>
        <w:rPr>
          <w:lang w:val="pt-BR"/>
        </w:rPr>
      </w:pPr>
      <w:r w:rsidRPr="002F4565">
        <w:rPr>
          <w:lang w:val="pt-BR"/>
        </w:rPr>
        <w:br w:type="page"/>
      </w:r>
    </w:p>
    <w:p w:rsidR="002F4565" w:rsidRPr="002F4565" w:rsidRDefault="002F4565" w:rsidP="002F4565">
      <w:pPr>
        <w:spacing w:before="120" w:after="0" w:line="240" w:lineRule="auto"/>
        <w:rPr>
          <w:lang w:val="pt-BR"/>
        </w:rPr>
      </w:pPr>
    </w:p>
    <w:p w:rsidR="002F4565" w:rsidRPr="002F4565" w:rsidRDefault="002F4565" w:rsidP="002F4565">
      <w:pPr>
        <w:spacing w:before="120" w:after="0" w:line="240" w:lineRule="auto"/>
        <w:rPr>
          <w:lang w:val="pt-BR"/>
        </w:rPr>
      </w:pPr>
      <w:r w:rsidRPr="002F4565">
        <w:rPr>
          <w:lang w:val="pt-BR"/>
        </w:rPr>
        <w:t>----------------------------------</w:t>
      </w:r>
    </w:p>
    <w:p w:rsidR="002F4565" w:rsidRPr="002F4565" w:rsidRDefault="002F4565" w:rsidP="0051636A">
      <w:pPr>
        <w:spacing w:before="120" w:after="0" w:line="240" w:lineRule="auto"/>
        <w:rPr>
          <w:lang w:val="pt-BR"/>
        </w:rPr>
      </w:pPr>
      <w:r w:rsidRPr="002F4565">
        <w:rPr>
          <w:lang w:val="pt-BR"/>
        </w:rPr>
        <w:t>Notas</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FAO, World Food Summit Plan of Action, parágrafo 1 (1996).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CESCR, General Comment 14, E/C.12/2000/4, parágrafo 43(b).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CESCR, General Comment 12, E/C.12/1999/5, parágrafo 14.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World Health Organization (WHO), “Unhealthy diets &amp; physical inactivity”, NMH Fact Sheet, Junho de 2009. Disponível em http://www.who.int/nmh/publications/fact_sheet_diet_en.pdf.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WHO, Global Status Report on Noncommunicable Diseases 2010 (Genebra, 2010, reimpresso em 2011), p. 9.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WHO, “10 facts on obesity”, Disponível em http://www.who.int/features/factfiles/obesity/facts/en/index1.html.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M. Tokunaga et al., “Diets, nutrients and noncommunicable diseases”, The Open Nutraceuticals </w:t>
      </w:r>
      <w:proofErr w:type="gramStart"/>
      <w:r w:rsidRPr="00B467D7">
        <w:rPr>
          <w:sz w:val="18"/>
        </w:rPr>
        <w:t>Journal ,</w:t>
      </w:r>
      <w:proofErr w:type="gramEnd"/>
      <w:r w:rsidRPr="00B467D7">
        <w:rPr>
          <w:sz w:val="18"/>
        </w:rPr>
        <w:t xml:space="preserve"> vol. 5 (2012), p. 152.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Rob Moodie et al., “Profits and pandemics: prevention of harmful effects of tobacco, alcohol, and ultra-processed food and drink industries”, The Lancet (2013), vol. 381, No. 9867, p. 671: “Ultra-processed products are made from processed substances extracted or ‘refined’ from whole foods – e.g. oils, hydrogenated oils and fats, flours and starches, variants of sugar, and cheap parts or remnants of animal foods – with little or no whole foods.”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Ibid., pp. 671–672.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David Stuckler et al., “Manufacturing epidemics: the role of global producers in increased consumption of unhealthy commodities including processed foods, alcohol and tobacco”, PLOS Medicine, vol. 9, No. 6 (2012), p. 2.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Barry M. Popkin, “Global nutrition dynamics: the world is shifting rapidly toward a diet linked with noncommunicable diseases”, American Journal of Clinical Nutrition, vol. 84, No. 2 (2006), pp. 289–298.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Corinna Hawkes, “Uneven dietary development: linking the policies and processes of globalization with the nutrition transition, obesity and diet-related chronic diseases”, Globalization and Health, vol. 2, No. 4 (2006).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Global Status Report on Noncommunicable Diseases 2010 (veja nota de rodapé 5 acima), Chapter 2, NCDs and Development, p. 33.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Sharon Friel et al., “Measuring progress on diet-related NCDs: the need to address the causes of the causes”, The </w:t>
      </w:r>
      <w:proofErr w:type="gramStart"/>
      <w:r w:rsidRPr="00B467D7">
        <w:rPr>
          <w:sz w:val="18"/>
        </w:rPr>
        <w:t>Lancet ,</w:t>
      </w:r>
      <w:proofErr w:type="gramEnd"/>
      <w:r w:rsidRPr="00B467D7">
        <w:rPr>
          <w:sz w:val="18"/>
        </w:rPr>
        <w:t xml:space="preserve"> vol. 381, No. 9870 (2013), pp. 903–904.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“Profits and pandemics” (veja nota de rodapé </w:t>
      </w:r>
      <w:proofErr w:type="gramStart"/>
      <w:r w:rsidRPr="002F4565">
        <w:rPr>
          <w:sz w:val="18"/>
          <w:lang w:val="pt-BR"/>
        </w:rPr>
        <w:t>8</w:t>
      </w:r>
      <w:proofErr w:type="gramEnd"/>
      <w:r w:rsidRPr="002F4565">
        <w:rPr>
          <w:sz w:val="18"/>
          <w:lang w:val="pt-BR"/>
        </w:rPr>
        <w:t xml:space="preserve"> acima), pp. 671–672.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“Manufacturing epidemics” (veja nota de rodapé 10 acima), pp. 1–2.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Tim Lang, “Food industrialisation and food power: implications for food governance”, Gatekeeper Series No. 114 (International Institute for Environment and Development, 2004), pp. 4–5.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Corinna Hawkes et al., “Linking agricultural policies with obesity and noncommunicable diseases: a new perspective for a globalising world”, Food Policy , vol. 27 (2012), pp. 344–345.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Ibid., p. 345.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Roberto De Vogli et al., “The influence of market deregulation on fast food consumption and body mass index: a cross-national time series analysis”, Bulletin of the World Health Organization, vol. 92 (2014), pp. 99–107A.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“Diets, nutrients and noncommunicable diseases” (veja nota de rodapé </w:t>
      </w:r>
      <w:proofErr w:type="gramStart"/>
      <w:r w:rsidRPr="002F4565">
        <w:rPr>
          <w:sz w:val="18"/>
          <w:lang w:val="pt-BR"/>
        </w:rPr>
        <w:t>7</w:t>
      </w:r>
      <w:proofErr w:type="gramEnd"/>
      <w:r w:rsidRPr="002F4565">
        <w:rPr>
          <w:sz w:val="18"/>
          <w:lang w:val="pt-BR"/>
        </w:rPr>
        <w:t xml:space="preserve"> acima), p. 148.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“Manufacturing epidemics” (veja nota de rodapé 10 acima), p. 5.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Corinna Hawkes, “The role of foreign direct investment in the nutrition transition”, Public Health Nutrition, vol, 8, No. 4 (2005), pp. 357–365.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Kakali Majumdar, “Foreign direct investment in Indian food processing industry”, Asian Journal of Research in Business Economics and Management , vol. 2, No. 4 (Abril 2012), p.113. </w:t>
      </w:r>
      <w:r w:rsidRPr="002F4565">
        <w:rPr>
          <w:sz w:val="18"/>
          <w:lang w:val="pt-BR"/>
        </w:rPr>
        <w:t xml:space="preserve">Disponível em http://www.aijsh.org/setup/business/ paper139.pdf.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Corinna Hawkes, “Marketing activities of global soft drink and fast food companies in emerging markets: a review”, Globalization, Diets and Noncommunicable Diseases (Genebra, WHO, 2002), p. 1.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Barry M. Popkin et al., “The global nutrition transition and the pandemic of obesity in developing countries”, Nutrition Reviews, vol. 70, No. 1 (2012), p. 8.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Abay Asfaw, “Supermarket purchases and the dietary patterns of households in Guatemala”, IFPRI Discussion Paper 00696 (Washington D.C., International Food Policy Research Institute, 2007), p. 1.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Ronald Labonté et al., “Framing international trade and chronic disease”, Globalization and Health, vol. 7, No. 21 (2011), p. 3.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“The role of foreign direct investment in the nutrition transition” (veja nota de rodapé 24 acima), p. 360.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“Marketing activities of global soft drink and fast food companies …” </w:t>
      </w:r>
      <w:r w:rsidRPr="002F4565">
        <w:rPr>
          <w:sz w:val="18"/>
          <w:lang w:val="pt-BR"/>
        </w:rPr>
        <w:t xml:space="preserve">(veja nota de rodapé 26 acima), pp. 8–12.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lastRenderedPageBreak/>
        <w:t xml:space="preserve">“Profits and pandemics” (veja nota de rodapé </w:t>
      </w:r>
      <w:proofErr w:type="gramStart"/>
      <w:r w:rsidRPr="002F4565">
        <w:rPr>
          <w:sz w:val="18"/>
          <w:lang w:val="pt-BR"/>
        </w:rPr>
        <w:t>8</w:t>
      </w:r>
      <w:proofErr w:type="gramEnd"/>
      <w:r w:rsidRPr="002F4565">
        <w:rPr>
          <w:sz w:val="18"/>
          <w:lang w:val="pt-BR"/>
        </w:rPr>
        <w:t xml:space="preserve"> acima), p. 372.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University of East Anglia, “Supermarket offers: a healthy choice for consumers?”, 21 de novembro de 2012. Disponível em http://www.uea.ac.uk/mac/comm/media/press/2012/November/supermarkets-offers-paul-dobson.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NHS Choices, “Food labels”, 19 de junho de 2013, Disponível em </w:t>
      </w:r>
      <w:proofErr w:type="gramStart"/>
      <w:r w:rsidRPr="002F4565">
        <w:rPr>
          <w:sz w:val="18"/>
          <w:lang w:val="pt-BR"/>
        </w:rPr>
        <w:t>http://www.nhs.uk/Livewell/Goodfood/Pages/food-labeling.</w:t>
      </w:r>
      <w:proofErr w:type="gramEnd"/>
      <w:r w:rsidRPr="002F4565">
        <w:rPr>
          <w:sz w:val="18"/>
          <w:lang w:val="pt-BR"/>
        </w:rPr>
        <w:t xml:space="preserve">aspx.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Sarah Boseley, “Mexico enacts soda tax in effort to combat world’s highest obesity rate”, The Guardian, 16 Janeiro 2014, Disponível em http://www.theguardian.com/world/2014/jan/16/mexico-soda-tax-sugar-obesity-health.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World Food Programme, Brazil: a Desk Review of the National School Feeding Programme (Julho 2007). Disponível em http://documents.wfp.org/stellent/groups/public/documents/newsroom/wfp207419.pdf.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Heart Foundation, The Supermarket as an Environment for Facilitating Dietary Behaviour Change (Junho 2012), pp. 14–15. Disponível em http://www.heartfoundation.org.au/SiteCollectionDocuments/NHF-Supermarket-rapid-review-FINAL.pdf.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Executive Office of the President of the United States, Solving the Problem of Childhood Obesity within a Generation: White House Task Force on Childhood Obesity Report to the President, (Washington D.C., Maio 2010), Recommendation 2.5. </w:t>
      </w:r>
      <w:r w:rsidRPr="002F4565">
        <w:rPr>
          <w:sz w:val="18"/>
          <w:lang w:val="pt-BR"/>
        </w:rPr>
        <w:t xml:space="preserve">Disponível em </w:t>
      </w:r>
      <w:proofErr w:type="gramStart"/>
      <w:r w:rsidRPr="002F4565">
        <w:rPr>
          <w:sz w:val="18"/>
          <w:lang w:val="pt-BR"/>
        </w:rPr>
        <w:t>http://www.letsmove.gov/sites/letsmove.</w:t>
      </w:r>
      <w:proofErr w:type="gramEnd"/>
      <w:r w:rsidRPr="002F4565">
        <w:rPr>
          <w:sz w:val="18"/>
          <w:lang w:val="pt-BR"/>
        </w:rPr>
        <w:t xml:space="preserve">gov/files/TaskForce_on_Childhood_Obesity_May2010_FullReport.pdf.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WHO, Marketing Food to Children: the Global Regulatory Environment (Genebra, 2004), p. 13.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Institute of Medicine of the National Academics, Building Public–Private Partnerships in Food and Nutrition (Washington D.C., 2012), pp. 9–22. Disponível em http://www.ncbi.nlm.nih.gov/books/NBK97331/pdf/TOC.pdf.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Barbara Fraser, “Latin American countries crack down on junk food”, The Lancet, vol. 382, No. 9890 (Agosto 2013), pp. 385–386.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“The role of foreign direct investment in the nutrition transition” (veja nota de rodapé 24 acima), p. 363.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Neal H. Hooker and Julie A. Caswell, “Trends in food quality regulation: implications for processed food trade and foreign direct investment”, Agribusiness, vol. 12, No. 5 (Setembro/Outubro 1996), pp. 411–419.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E/</w:t>
      </w:r>
      <w:proofErr w:type="gramStart"/>
      <w:r w:rsidRPr="002F4565">
        <w:rPr>
          <w:sz w:val="18"/>
          <w:lang w:val="pt-BR"/>
        </w:rPr>
        <w:t>CN.</w:t>
      </w:r>
      <w:proofErr w:type="gramEnd"/>
      <w:r w:rsidRPr="002F4565">
        <w:rPr>
          <w:sz w:val="18"/>
          <w:lang w:val="pt-BR"/>
        </w:rPr>
        <w:t xml:space="preserve">4/Sub.2/2003/12/Rev.2. Veja também HR/PUB/11/04.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HR/PUB/11/04, Principle II, A.11.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Marion Nestle and David S. Ludwig, “Front-of-package food labels: public health or propaganda?”, Journal of the American Medical Association , vol. 303, No. 8 (2010), p. 772.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Kelly D. Brownell and Kenneth E. Warner, “The perils of ignoring history: big tobacco played dirty and millions died. How similar is big food?”, The Milbank Quarterly, vol. 87, No. 1 (2009), pp. 278–279.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Veja Dr. Margaret Chan, Director-General of WHO, opening address at the Eighth Global Conference on Health Promotion, Helsinki, 10 de junho de 2013. Disponível em http://www.who.int/dg/speeches/2013/health_promotion_20130610/en/. </w:t>
      </w:r>
    </w:p>
    <w:p w:rsidR="002F4565" w:rsidRPr="00B467D7" w:rsidRDefault="002F4565" w:rsidP="002F4565">
      <w:pPr>
        <w:pStyle w:val="PargrafodaLista"/>
        <w:numPr>
          <w:ilvl w:val="0"/>
          <w:numId w:val="1"/>
        </w:numPr>
        <w:spacing w:before="120" w:after="0" w:line="240" w:lineRule="auto"/>
        <w:rPr>
          <w:sz w:val="18"/>
        </w:rPr>
      </w:pPr>
      <w:r w:rsidRPr="00B467D7">
        <w:rPr>
          <w:sz w:val="18"/>
        </w:rPr>
        <w:t>Lori Dorfman et al., “Soda and tobacco industry corporate social responsibility campaigns: how do they compare?</w:t>
      </w:r>
      <w:proofErr w:type="gramStart"/>
      <w:r w:rsidRPr="00B467D7">
        <w:rPr>
          <w:sz w:val="18"/>
        </w:rPr>
        <w:t>”,</w:t>
      </w:r>
      <w:proofErr w:type="gramEnd"/>
      <w:r w:rsidRPr="00B467D7">
        <w:rPr>
          <w:sz w:val="18"/>
        </w:rPr>
        <w:t xml:space="preserve"> PLOS Medicine, vol. 9, No. 6 (2012), pp. 3–4.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Marion Nestle and Ted Wilson, “Food industry and political influences on American nutrition”, in Nutritional Health: Strategies for Disease Prevention, N J Temple et al. </w:t>
      </w:r>
      <w:r w:rsidRPr="002F4565">
        <w:rPr>
          <w:sz w:val="18"/>
          <w:lang w:val="pt-BR"/>
        </w:rPr>
        <w:t xml:space="preserve">(eds.), 3rd ed. (Humana Press, 2012), p. 480. </w:t>
      </w:r>
    </w:p>
    <w:p w:rsidR="002F4565" w:rsidRPr="00B467D7" w:rsidRDefault="002F4565" w:rsidP="002F4565">
      <w:pPr>
        <w:pStyle w:val="PargrafodaLista"/>
        <w:numPr>
          <w:ilvl w:val="0"/>
          <w:numId w:val="1"/>
        </w:numPr>
        <w:spacing w:before="120" w:after="0" w:line="240" w:lineRule="auto"/>
        <w:rPr>
          <w:sz w:val="18"/>
        </w:rPr>
      </w:pPr>
      <w:r w:rsidRPr="00B467D7">
        <w:rPr>
          <w:sz w:val="18"/>
        </w:rPr>
        <w:t>David Stuckler et al., “Global health philanthropy and institutional relationships: how should conflicts of interest be addressed?</w:t>
      </w:r>
      <w:proofErr w:type="gramStart"/>
      <w:r w:rsidRPr="00B467D7">
        <w:rPr>
          <w:sz w:val="18"/>
        </w:rPr>
        <w:t>”,</w:t>
      </w:r>
      <w:proofErr w:type="gramEnd"/>
      <w:r w:rsidRPr="00B467D7">
        <w:rPr>
          <w:sz w:val="18"/>
        </w:rPr>
        <w:t xml:space="preserve"> PLOS Medicine, vol. 8, No. 4 (2011), p. 7.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NCD Alliance, “A focus on children and non-communicable diseases (NCDs)”, position paper prepared for the United Nations Summit on Non-Communicable Diseases, New York, Setembro 2011, p. 5. </w:t>
      </w:r>
    </w:p>
    <w:p w:rsidR="002F4565" w:rsidRPr="002F4565" w:rsidRDefault="002F4565" w:rsidP="002F4565">
      <w:pPr>
        <w:pStyle w:val="PargrafodaLista"/>
        <w:numPr>
          <w:ilvl w:val="0"/>
          <w:numId w:val="1"/>
        </w:numPr>
        <w:spacing w:before="120" w:after="0" w:line="240" w:lineRule="auto"/>
        <w:rPr>
          <w:sz w:val="18"/>
          <w:lang w:val="pt-BR"/>
        </w:rPr>
      </w:pPr>
      <w:proofErr w:type="gramStart"/>
      <w:r w:rsidRPr="002F4565">
        <w:rPr>
          <w:sz w:val="18"/>
          <w:lang w:val="pt-BR"/>
        </w:rPr>
        <w:t>Ibid</w:t>
      </w:r>
      <w:proofErr w:type="gramEnd"/>
      <w:r w:rsidRPr="002F4565">
        <w:rPr>
          <w:sz w:val="18"/>
          <w:lang w:val="pt-BR"/>
        </w:rPr>
        <w:t xml:space="preserve">, p. 7.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NCD Alliance, “Children in every policy: recommendations for a lifecourse approach to NCDs”, briefing paper, Maio 2011, p. 2.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“A focus on children and non-communicable diseases (NCDs)” (veja nota de rodapé 54 acima), p. 5.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WHO Regional Office for Europe, Marketing of Foods High in Fat, Salt and Sugar to Children: Update 2012–2013 (Copenhagen, 2013); Consumers International, The Junk Food Trap: Marketing Unhealthy Food to Children in Asia Pacific (London, 2008).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Yale Rudd Center for Food Policy and Obesity, Fast Food Facts 2013: Measuring Progress in the Nutritional Quality and Marketing of Fast Food to Children and Teens (Robert Wood Johnson Foundation, Princeton, 2013), p. 63.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Patricia M. Anderson and Kristin F. Butcher, “Reading, writing and raisinets: are school finances contributing to obesity?”, National Bureau of Economic Research Working Paper No. 11177, (Cambridge, 2005), p. 5. Disponível em http://www.nber.org/papers/w11177.pdf.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Fast Food Facts 2013 (veja nota de rodapé 59 acima), p. 29. </w:t>
      </w:r>
    </w:p>
    <w:p w:rsidR="002F4565" w:rsidRPr="00B467D7" w:rsidRDefault="002F4565" w:rsidP="002F4565">
      <w:pPr>
        <w:pStyle w:val="PargrafodaLista"/>
        <w:numPr>
          <w:ilvl w:val="0"/>
          <w:numId w:val="1"/>
        </w:numPr>
        <w:spacing w:before="120" w:after="0" w:line="240" w:lineRule="auto"/>
        <w:rPr>
          <w:sz w:val="18"/>
        </w:rPr>
      </w:pPr>
      <w:r w:rsidRPr="00B467D7">
        <w:rPr>
          <w:sz w:val="18"/>
        </w:rPr>
        <w:lastRenderedPageBreak/>
        <w:t xml:space="preserve">Patricia Allen and Carolyn Sacks, “Women and food chains: the gendered politics of food”, International Journal of Sociology of Food and Agriculture, vol. 15, No. 1 (2007), pp. 9–10.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Ibid., pp. 2–4.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Food Research and Action Center, “Do the data show a link between obesity and poverty?”, fall 2010, Disponível em http://frac.org/wp-content/uploads/2010/09/do_data_show_obesity_poverty_link_brief.pdf; Carlos A. Monteiro et al., “Socioeconomic status and obesity in adult populations of developing countries: a review”, Bulletin of the World Health Organization, vol. 82, No. 12 (Dezembro 2004), pp. 940–946.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“Socioeconomic status and obesity in adult populations of developing countries” (veja nota de rodapé acima); WHO, A Framework to Monitor and Evaluate Implementation: a Global Strategy on Diet, Physical Activity and Health (Genebra, 2008), parágrafo 8.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Veja WHO Regional Office for the Western Pacific, Non-Communicable Disease and Poverty: the Need for Pro-Poor Strategies in the Western Pacific Region: a Review (Genebra, 2007), pp. 29–32.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Ibid., pp. 8–9. </w:t>
      </w:r>
    </w:p>
    <w:p w:rsidR="002F4565" w:rsidRPr="00B467D7" w:rsidRDefault="002F4565" w:rsidP="002F4565">
      <w:pPr>
        <w:pStyle w:val="PargrafodaLista"/>
        <w:numPr>
          <w:ilvl w:val="0"/>
          <w:numId w:val="1"/>
        </w:numPr>
        <w:spacing w:before="120" w:after="0" w:line="240" w:lineRule="auto"/>
        <w:rPr>
          <w:sz w:val="18"/>
        </w:rPr>
      </w:pPr>
      <w:r w:rsidRPr="00B467D7">
        <w:rPr>
          <w:sz w:val="18"/>
        </w:rPr>
        <w:t>Nicole Darmon and Adam Drewnowski, “Does social class predict diet quality?</w:t>
      </w:r>
      <w:proofErr w:type="gramStart"/>
      <w:r w:rsidRPr="00B467D7">
        <w:rPr>
          <w:sz w:val="18"/>
        </w:rPr>
        <w:t>”,</w:t>
      </w:r>
      <w:proofErr w:type="gramEnd"/>
      <w:r w:rsidRPr="00B467D7">
        <w:rPr>
          <w:sz w:val="18"/>
        </w:rPr>
        <w:t xml:space="preserve"> American Journal of Clinical Nutrition, vol. 87, No. 5 (Maio 2008), pp 1107–1117.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Mayuree Rao et al., “Do healthier foods and diet patterns cost more than less healthy options? </w:t>
      </w:r>
      <w:r w:rsidRPr="002F4565">
        <w:rPr>
          <w:sz w:val="18"/>
          <w:lang w:val="pt-BR"/>
        </w:rPr>
        <w:t xml:space="preserve">A systematic review and meta-analysis”, BMJ Open, vol. 3, No. 12 (2013).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Policy Link and The Food Trust, The Grocery Gap: Who has Access to Healthy Food and Why it Matters (2010).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DD Reidpath et al., “An ecological study of the relationship between social and environmental determinants of obesity”, Health Place, vol. 8, No. 2 (2002), pp. 141–145.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Gian-Paolo Ravelli et al., “Obesity in young men after famine exposure in utero and early infancy”, New England Journal of Medicine, vol. 295, No. 7 (1976), pp. 349–353.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Food Research and Action Center, “Food insecurity and obesity: understanding the connections”, spring 2011, Disponível em http://frac.org/pdf/frac_brief_understanding_the_connections.pdf.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Food Research and Action Center, “How improving federal nutrition program access and quality work together to reduce hunger and promote healthy eating”, Fevereiro 2010, Disponível em http://www.frac.org/pdf/CNR01_qualityandaccess.pdf. </w:t>
      </w:r>
    </w:p>
    <w:p w:rsidR="002F4565" w:rsidRPr="00B467D7" w:rsidRDefault="002F4565" w:rsidP="002F4565">
      <w:pPr>
        <w:pStyle w:val="PargrafodaLista"/>
        <w:numPr>
          <w:ilvl w:val="0"/>
          <w:numId w:val="1"/>
        </w:numPr>
        <w:spacing w:before="120" w:after="0" w:line="240" w:lineRule="auto"/>
        <w:rPr>
          <w:sz w:val="18"/>
        </w:rPr>
      </w:pPr>
      <w:r w:rsidRPr="00B467D7">
        <w:rPr>
          <w:sz w:val="18"/>
        </w:rPr>
        <w:t>Katherine Bauer et al., “</w:t>
      </w:r>
      <w:proofErr w:type="gramStart"/>
      <w:r w:rsidRPr="00B467D7">
        <w:rPr>
          <w:sz w:val="18"/>
        </w:rPr>
        <w:t>‘How</w:t>
      </w:r>
      <w:proofErr w:type="gramEnd"/>
      <w:r w:rsidRPr="00B467D7">
        <w:rPr>
          <w:sz w:val="18"/>
        </w:rPr>
        <w:t xml:space="preserve"> can we stay healthy when you’re throwing all of this in front of us?’ Findings from focus groups and interviews in middle schools on environmental influences on nutrition and physical activity”, Health Education and Behavior, vol. 31, No. 1 (Fevereiro 2004), pp. 40–41.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World Trade Organization, Principles of the trading system, http://www.wto.org/english/thewto_e/whatis_e/tif_e/fact2_e.htm.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ASEAN [Association of Southeast Asian Nations] Comprehensive Investment Agreement, Article 1 (c). </w:t>
      </w:r>
      <w:r w:rsidRPr="002F4565">
        <w:rPr>
          <w:sz w:val="18"/>
          <w:lang w:val="pt-BR"/>
        </w:rPr>
        <w:t>Disponível em http://aseansummit.mfa.go.th/14/pdf/Outcome_Document/ASEAN%</w:t>
      </w:r>
      <w:proofErr w:type="gramStart"/>
      <w:r w:rsidRPr="002F4565">
        <w:rPr>
          <w:sz w:val="18"/>
          <w:lang w:val="pt-BR"/>
        </w:rPr>
        <w:t>20Compre</w:t>
      </w:r>
      <w:proofErr w:type="gramEnd"/>
      <w:r w:rsidRPr="002F4565">
        <w:rPr>
          <w:sz w:val="18"/>
          <w:lang w:val="pt-BR"/>
        </w:rPr>
        <w:t xml:space="preserve">%20Invest%20Agreement.pdf.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Sharon Friel et al., “A new generation of trade policy: potential risks to diet-related health from </w:t>
      </w:r>
      <w:proofErr w:type="gramStart"/>
      <w:r w:rsidRPr="00B467D7">
        <w:rPr>
          <w:sz w:val="18"/>
        </w:rPr>
        <w:t>trans</w:t>
      </w:r>
      <w:proofErr w:type="gramEnd"/>
      <w:r w:rsidRPr="00B467D7">
        <w:rPr>
          <w:sz w:val="18"/>
        </w:rPr>
        <w:t xml:space="preserve"> Pacific partnership agreement”, Globalization and Health, vol. 9, No. 46 (2013), p. 2.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Sarah E. Clark et al., “Exporting obesity: US farm and trade policy and the transformation of the Mexican consumer food environment”, International Journal of Occupational and Environmental Health, vol. 18, No. 1 (2012), p. 54.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WHO, Draft comprehensive global monitoring framework and targets for the prevention and control of noncommunicable diseases, A66/8. Disponível em http://apps.who.int/gb/ebwha/pdf_files/WHA66/A66_8-en.pdf.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Michael R. Taylor, “Preparing America’s food safety system for the twenty-first century”, Resources, No. 127 (spring 1997), p. 16. </w:t>
      </w:r>
      <w:r w:rsidRPr="002F4565">
        <w:rPr>
          <w:sz w:val="18"/>
          <w:lang w:val="pt-BR"/>
        </w:rPr>
        <w:t xml:space="preserve">Disponível em http://rff.org/Documents/Resources/Resources-127_Taylor.pdf.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Gwynne Skinner et al., </w:t>
      </w:r>
      <w:proofErr w:type="gramStart"/>
      <w:r w:rsidRPr="00B467D7">
        <w:rPr>
          <w:sz w:val="18"/>
        </w:rPr>
        <w:t>The</w:t>
      </w:r>
      <w:proofErr w:type="gramEnd"/>
      <w:r w:rsidRPr="00B467D7">
        <w:rPr>
          <w:sz w:val="18"/>
        </w:rPr>
        <w:t xml:space="preserve"> Third Pillar: Access to Judicial Remedies for Human Rights Violations by Transnational Business (ICAR/CORE/ECCJ, 2013), p. 11. </w:t>
      </w:r>
      <w:r w:rsidRPr="002F4565">
        <w:rPr>
          <w:sz w:val="18"/>
          <w:lang w:val="pt-BR"/>
        </w:rPr>
        <w:t xml:space="preserve">Disponível em http://accountabilityroundtable.org/wp-content/uploads/2013/02/The-Third-Pillar-Access-to-Judicial-Remedies-for-Human-Rights-Violation-by-Transnational-Business.pdf. </w:t>
      </w:r>
    </w:p>
    <w:p w:rsidR="002F4565" w:rsidRPr="00B467D7" w:rsidRDefault="002F4565" w:rsidP="002F4565">
      <w:pPr>
        <w:pStyle w:val="PargrafodaLista"/>
        <w:numPr>
          <w:ilvl w:val="0"/>
          <w:numId w:val="1"/>
        </w:numPr>
        <w:spacing w:before="120" w:after="0" w:line="240" w:lineRule="auto"/>
        <w:rPr>
          <w:sz w:val="18"/>
        </w:rPr>
      </w:pPr>
      <w:r w:rsidRPr="00B467D7">
        <w:rPr>
          <w:sz w:val="18"/>
        </w:rPr>
        <w:t>Kelley Lee and Meri Koivusalo, “Trade and health: is the health community ready for action?</w:t>
      </w:r>
      <w:proofErr w:type="gramStart"/>
      <w:r w:rsidRPr="00B467D7">
        <w:rPr>
          <w:sz w:val="18"/>
        </w:rPr>
        <w:t>”,</w:t>
      </w:r>
      <w:proofErr w:type="gramEnd"/>
      <w:r w:rsidRPr="00B467D7">
        <w:rPr>
          <w:sz w:val="18"/>
        </w:rPr>
        <w:t xml:space="preserve"> PLOS Medicine, vol. 2, No. 1 (2005), p. 14.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World Trade Organization, “Members discuss guidelines for trade-friendly regulation and STOP sign for ‘junk food’”, 13 de março de 2013, Disponível em http://www.wto.org/english/news_e/news13_e/tbt_13mar13_e.htm.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WHO, Trade, Trade Agreements and Non-Communicable Diseases in the Pacific Islands (2013), p. 10.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“Manufacturing epidemics” (veja nota de rodapé 10 acima), p.6.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“A new generation of trade policy” (veja nota de rodapé 78 acima), p. 5.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lastRenderedPageBreak/>
        <w:t xml:space="preserve">Joint statement of Asia–Pacific Economic Cooperation (APEC) Ministers at the 2010 APEC Ministerial Meeting, Yokohama, 11 de novembro de 2010. </w:t>
      </w:r>
      <w:r w:rsidRPr="002F4565">
        <w:rPr>
          <w:sz w:val="18"/>
          <w:lang w:val="pt-BR"/>
        </w:rPr>
        <w:t xml:space="preserve">Disponível em </w:t>
      </w:r>
      <w:proofErr w:type="gramStart"/>
      <w:r w:rsidRPr="002F4565">
        <w:rPr>
          <w:sz w:val="18"/>
          <w:lang w:val="pt-BR"/>
        </w:rPr>
        <w:t>http://www.apec.org/Meeting-Papers/Ministerial-Statements/Annual/2010/2010_amm.</w:t>
      </w:r>
      <w:proofErr w:type="gramEnd"/>
      <w:r w:rsidRPr="002F4565">
        <w:rPr>
          <w:sz w:val="18"/>
          <w:lang w:val="pt-BR"/>
        </w:rPr>
        <w:t xml:space="preserve">aspx.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Anne Marie Thowa and Benn McGrady, “Protecting policy space for public health nutrition in an era of international investment agreements”, Bulletin of the World Health Organization, vol. 92 p. 142. Disponível em http://www.who.int/bulletin/volumes/92/2/13-120543.pdf.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NCD Alliance, “Food, nutrition, diet and non-communicable diseases”, Disponível em http://www.wcrf.org/PDFs/PPA_NCD_Alliance_Nutrition.pdf.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Shanthi Mendis, “The policy agenda for prevention and control of non-communicable diseases”, British Medical Bulletin, vol. 96, No. 1 (2010), p. 37.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G.F. Anderson, “Missing in action: international aid agencies in poor countries to fight chronic disease”, Health Affairs, vol. 28, No. 1 (Janeiro–Fevereiro 2009), pp. 202–203.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Prevention and control of non-communicable diseases: Report of the Secretary-General (A/66/83); Pan American Health Organization, CARMEN: an Initiative for Integration of Prevention of Noncommunicable Diseases in the Americas (Washington D.C., 2003). Disponível em http://www.paho.org/carmen/wp-content/uploads/2012/06/CARMEN-General-Overview.pdf. </w:t>
      </w:r>
    </w:p>
    <w:p w:rsidR="002F4565" w:rsidRPr="002F4565" w:rsidRDefault="002F4565" w:rsidP="002F4565">
      <w:pPr>
        <w:pStyle w:val="PargrafodaLista"/>
        <w:numPr>
          <w:ilvl w:val="0"/>
          <w:numId w:val="1"/>
        </w:numPr>
        <w:spacing w:before="120" w:after="0" w:line="240" w:lineRule="auto"/>
        <w:rPr>
          <w:sz w:val="18"/>
          <w:lang w:val="pt-BR"/>
        </w:rPr>
      </w:pPr>
      <w:r w:rsidRPr="002F4565">
        <w:rPr>
          <w:sz w:val="18"/>
          <w:lang w:val="pt-BR"/>
        </w:rPr>
        <w:t xml:space="preserve">A new global partnership: eradicate poverty and transform economies through sustainable Development: report of the High-Level Panel of Eminent Persons on the Post-2015 Development Agenda, p. 38. Disponível em http://www.un.org/sg/management/pdf/HLP_P2015_Report.pdf. </w:t>
      </w:r>
    </w:p>
    <w:p w:rsidR="002F4565" w:rsidRPr="002F4565" w:rsidRDefault="002F4565" w:rsidP="002F4565">
      <w:pPr>
        <w:pStyle w:val="PargrafodaLista"/>
        <w:numPr>
          <w:ilvl w:val="0"/>
          <w:numId w:val="1"/>
        </w:numPr>
        <w:spacing w:before="120" w:after="0" w:line="240" w:lineRule="auto"/>
        <w:rPr>
          <w:sz w:val="18"/>
          <w:lang w:val="pt-BR"/>
        </w:rPr>
      </w:pPr>
      <w:r w:rsidRPr="00B467D7">
        <w:rPr>
          <w:sz w:val="18"/>
        </w:rPr>
        <w:t xml:space="preserve">WHO, Global Action Plan for the Prevention and Control of Noncommunicable Diseases 2013–2020 (Genebra, 2013), Objective 3, pp. 31–32. </w:t>
      </w:r>
      <w:r w:rsidRPr="002F4565">
        <w:rPr>
          <w:sz w:val="18"/>
          <w:lang w:val="pt-BR"/>
        </w:rPr>
        <w:t>Disponível em http://apps.who.int/iris/bitstream/10665/94384/1/9789241506236_eng.pdf?</w:t>
      </w:r>
      <w:proofErr w:type="gramStart"/>
      <w:r w:rsidRPr="002F4565">
        <w:rPr>
          <w:sz w:val="18"/>
          <w:lang w:val="pt-BR"/>
        </w:rPr>
        <w:t>ua</w:t>
      </w:r>
      <w:proofErr w:type="gramEnd"/>
      <w:r w:rsidRPr="002F4565">
        <w:rPr>
          <w:sz w:val="18"/>
          <w:lang w:val="pt-BR"/>
        </w:rPr>
        <w:t xml:space="preserve">=1. </w:t>
      </w:r>
    </w:p>
    <w:p w:rsidR="002F4565" w:rsidRPr="00B467D7" w:rsidRDefault="002F4565" w:rsidP="002F4565">
      <w:pPr>
        <w:pStyle w:val="PargrafodaLista"/>
        <w:numPr>
          <w:ilvl w:val="0"/>
          <w:numId w:val="1"/>
        </w:numPr>
        <w:spacing w:before="120" w:after="0" w:line="240" w:lineRule="auto"/>
        <w:rPr>
          <w:sz w:val="18"/>
        </w:rPr>
      </w:pPr>
      <w:r w:rsidRPr="00B467D7">
        <w:rPr>
          <w:sz w:val="18"/>
        </w:rPr>
        <w:t xml:space="preserve">Human Rights Watch, “UN Human Rights Council: weak stance on business standards”, 16 de junho de 2011, Disponível em http://www.hrw.org/news/2011/06/16/un-human-rights-council-weak-stance-business-standards. </w:t>
      </w:r>
    </w:p>
    <w:p w:rsidR="002F4565" w:rsidRPr="00B467D7" w:rsidRDefault="002F4565" w:rsidP="002F4565">
      <w:pPr>
        <w:rPr>
          <w:sz w:val="18"/>
        </w:rPr>
      </w:pPr>
    </w:p>
    <w:sectPr w:rsidR="002F4565" w:rsidRPr="00B467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A9E"/>
    <w:multiLevelType w:val="hybridMultilevel"/>
    <w:tmpl w:val="4CD27726"/>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91"/>
    <w:rsid w:val="00025D29"/>
    <w:rsid w:val="0003014D"/>
    <w:rsid w:val="00046F58"/>
    <w:rsid w:val="00072E1E"/>
    <w:rsid w:val="0007577A"/>
    <w:rsid w:val="000D1B60"/>
    <w:rsid w:val="000E48EB"/>
    <w:rsid w:val="00115B91"/>
    <w:rsid w:val="00117FB4"/>
    <w:rsid w:val="00140D97"/>
    <w:rsid w:val="00145095"/>
    <w:rsid w:val="00153A40"/>
    <w:rsid w:val="001730DC"/>
    <w:rsid w:val="00176DB8"/>
    <w:rsid w:val="00182B8E"/>
    <w:rsid w:val="001C2FAC"/>
    <w:rsid w:val="00214AEE"/>
    <w:rsid w:val="0022418F"/>
    <w:rsid w:val="00227FD9"/>
    <w:rsid w:val="00251FF5"/>
    <w:rsid w:val="00261A8A"/>
    <w:rsid w:val="00291CE3"/>
    <w:rsid w:val="002B035C"/>
    <w:rsid w:val="002E1AA7"/>
    <w:rsid w:val="002F4565"/>
    <w:rsid w:val="00303A80"/>
    <w:rsid w:val="00304E5D"/>
    <w:rsid w:val="003053AE"/>
    <w:rsid w:val="003A41FB"/>
    <w:rsid w:val="003C09F9"/>
    <w:rsid w:val="003C10C1"/>
    <w:rsid w:val="003F41C2"/>
    <w:rsid w:val="0040430A"/>
    <w:rsid w:val="004069A0"/>
    <w:rsid w:val="00413531"/>
    <w:rsid w:val="00441B8F"/>
    <w:rsid w:val="0045397D"/>
    <w:rsid w:val="0049090C"/>
    <w:rsid w:val="004A04EC"/>
    <w:rsid w:val="004A1529"/>
    <w:rsid w:val="0051636A"/>
    <w:rsid w:val="00547170"/>
    <w:rsid w:val="005A25F5"/>
    <w:rsid w:val="006053D7"/>
    <w:rsid w:val="00624BDC"/>
    <w:rsid w:val="0063433D"/>
    <w:rsid w:val="006A31E1"/>
    <w:rsid w:val="00703835"/>
    <w:rsid w:val="007245D6"/>
    <w:rsid w:val="00765AF7"/>
    <w:rsid w:val="00791370"/>
    <w:rsid w:val="007D3BE3"/>
    <w:rsid w:val="007D4857"/>
    <w:rsid w:val="007E67D2"/>
    <w:rsid w:val="00802E44"/>
    <w:rsid w:val="0085423E"/>
    <w:rsid w:val="008A607B"/>
    <w:rsid w:val="008B5E2A"/>
    <w:rsid w:val="008D4E33"/>
    <w:rsid w:val="00927F84"/>
    <w:rsid w:val="00995E88"/>
    <w:rsid w:val="009B2B01"/>
    <w:rsid w:val="009B3C1E"/>
    <w:rsid w:val="00A2434B"/>
    <w:rsid w:val="00B467D7"/>
    <w:rsid w:val="00B5729E"/>
    <w:rsid w:val="00B6466A"/>
    <w:rsid w:val="00B94A3A"/>
    <w:rsid w:val="00B95CF1"/>
    <w:rsid w:val="00BA446D"/>
    <w:rsid w:val="00BC3868"/>
    <w:rsid w:val="00BE10F9"/>
    <w:rsid w:val="00BF5705"/>
    <w:rsid w:val="00C47496"/>
    <w:rsid w:val="00C860D0"/>
    <w:rsid w:val="00C93834"/>
    <w:rsid w:val="00CA2BE3"/>
    <w:rsid w:val="00DC5949"/>
    <w:rsid w:val="00E279F6"/>
    <w:rsid w:val="00E415D7"/>
    <w:rsid w:val="00E46F33"/>
    <w:rsid w:val="00E47846"/>
    <w:rsid w:val="00E53B29"/>
    <w:rsid w:val="00E62864"/>
    <w:rsid w:val="00E72375"/>
    <w:rsid w:val="00EA5149"/>
    <w:rsid w:val="00ED67D7"/>
    <w:rsid w:val="00F21F55"/>
    <w:rsid w:val="00F56DEA"/>
    <w:rsid w:val="00FB4401"/>
    <w:rsid w:val="00FB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25D29"/>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5D29"/>
    <w:pPr>
      <w:widowControl w:val="0"/>
      <w:spacing w:after="0" w:line="240" w:lineRule="auto"/>
    </w:pPr>
  </w:style>
  <w:style w:type="paragraph" w:styleId="Textodebalo">
    <w:name w:val="Balloon Text"/>
    <w:basedOn w:val="Normal"/>
    <w:link w:val="TextodebaloChar"/>
    <w:uiPriority w:val="99"/>
    <w:semiHidden/>
    <w:unhideWhenUsed/>
    <w:rsid w:val="00025D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5D29"/>
    <w:rPr>
      <w:rFonts w:ascii="Tahoma" w:hAnsi="Tahoma" w:cs="Tahoma"/>
      <w:sz w:val="16"/>
      <w:szCs w:val="16"/>
    </w:rPr>
  </w:style>
  <w:style w:type="table" w:styleId="Tabelacomgrade">
    <w:name w:val="Table Grid"/>
    <w:basedOn w:val="Tabelanormal"/>
    <w:uiPriority w:val="59"/>
    <w:rsid w:val="00F2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F4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25D29"/>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5D29"/>
    <w:pPr>
      <w:widowControl w:val="0"/>
      <w:spacing w:after="0" w:line="240" w:lineRule="auto"/>
    </w:pPr>
  </w:style>
  <w:style w:type="paragraph" w:styleId="Textodebalo">
    <w:name w:val="Balloon Text"/>
    <w:basedOn w:val="Normal"/>
    <w:link w:val="TextodebaloChar"/>
    <w:uiPriority w:val="99"/>
    <w:semiHidden/>
    <w:unhideWhenUsed/>
    <w:rsid w:val="00025D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5D29"/>
    <w:rPr>
      <w:rFonts w:ascii="Tahoma" w:hAnsi="Tahoma" w:cs="Tahoma"/>
      <w:sz w:val="16"/>
      <w:szCs w:val="16"/>
    </w:rPr>
  </w:style>
  <w:style w:type="table" w:styleId="Tabelacomgrade">
    <w:name w:val="Table Grid"/>
    <w:basedOn w:val="Tabelanormal"/>
    <w:uiPriority w:val="59"/>
    <w:rsid w:val="00F2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F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13012</Words>
  <Characters>70265</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Julia Contier</cp:lastModifiedBy>
  <cp:revision>2</cp:revision>
  <dcterms:created xsi:type="dcterms:W3CDTF">2014-08-08T17:45:00Z</dcterms:created>
  <dcterms:modified xsi:type="dcterms:W3CDTF">2014-08-08T17:45:00Z</dcterms:modified>
</cp:coreProperties>
</file>